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F3E" w:rsidRDefault="00040989">
      <w:pPr>
        <w:pStyle w:val="af1"/>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19</w:t>
      </w:r>
      <w:r>
        <w:rPr>
          <w:rFonts w:ascii="Times New Roman" w:eastAsia="宋体" w:hAnsi="Times New Roman"/>
          <w:sz w:val="22"/>
          <w:szCs w:val="22"/>
          <w:lang w:eastAsia="zh-CN"/>
        </w:rPr>
        <w:tab/>
      </w:r>
      <w:r>
        <w:rPr>
          <w:rFonts w:ascii="Times New Roman" w:hAnsi="Times New Roman"/>
          <w:sz w:val="22"/>
          <w:szCs w:val="22"/>
          <w:lang w:eastAsia="ja-JP"/>
        </w:rPr>
        <w:t>R1-2409378</w:t>
      </w:r>
    </w:p>
    <w:p w:rsidR="00C42F3E" w:rsidRDefault="00040989">
      <w:pPr>
        <w:snapToGrid w:val="0"/>
        <w:spacing w:before="0" w:after="0" w:line="240" w:lineRule="auto"/>
        <w:rPr>
          <w:b/>
          <w:sz w:val="22"/>
        </w:rPr>
      </w:pPr>
      <w:r>
        <w:rPr>
          <w:b/>
          <w:sz w:val="22"/>
        </w:rPr>
        <w:t xml:space="preserve">Orlando, </w:t>
      </w:r>
      <w:r>
        <w:rPr>
          <w:rFonts w:hint="eastAsia"/>
          <w:b/>
          <w:sz w:val="22"/>
        </w:rPr>
        <w:t>US</w:t>
      </w:r>
      <w:r>
        <w:rPr>
          <w:b/>
          <w:sz w:val="22"/>
        </w:rPr>
        <w:t>,</w:t>
      </w:r>
      <w:r>
        <w:rPr>
          <w:b/>
          <w:sz w:val="22"/>
          <w:lang w:eastAsia="ja-JP"/>
        </w:rPr>
        <w:t xml:space="preserve"> </w:t>
      </w:r>
      <w:r>
        <w:rPr>
          <w:b/>
          <w:sz w:val="22"/>
        </w:rPr>
        <w:t>Nov18</w:t>
      </w:r>
      <w:r>
        <w:rPr>
          <w:rFonts w:hint="eastAsia"/>
          <w:b/>
          <w:sz w:val="22"/>
          <w:vertAlign w:val="superscript"/>
        </w:rPr>
        <w:t>th</w:t>
      </w:r>
      <w:r>
        <w:rPr>
          <w:rFonts w:eastAsia="MS Mincho"/>
          <w:b/>
          <w:sz w:val="22"/>
          <w:lang w:eastAsia="ja-JP"/>
        </w:rPr>
        <w:t xml:space="preserve"> –</w:t>
      </w:r>
      <w:r>
        <w:rPr>
          <w:rFonts w:eastAsia="MS Mincho"/>
          <w:b/>
          <w:sz w:val="22"/>
          <w:lang w:eastAsia="en-US"/>
        </w:rPr>
        <w:t xml:space="preserve"> </w:t>
      </w:r>
      <w:r>
        <w:rPr>
          <w:b/>
          <w:sz w:val="22"/>
        </w:rPr>
        <w:t>Nov 22</w:t>
      </w:r>
      <w:r>
        <w:rPr>
          <w:b/>
          <w:sz w:val="22"/>
          <w:vertAlign w:val="superscript"/>
        </w:rPr>
        <w:t>nd</w:t>
      </w:r>
      <w:r>
        <w:rPr>
          <w:rFonts w:eastAsia="MS Mincho"/>
          <w:b/>
          <w:sz w:val="22"/>
          <w:lang w:eastAsia="ja-JP"/>
        </w:rPr>
        <w:t>, 20</w:t>
      </w:r>
      <w:r>
        <w:rPr>
          <w:b/>
          <w:sz w:val="22"/>
        </w:rPr>
        <w:t>2</w:t>
      </w:r>
      <w:r>
        <w:rPr>
          <w:rFonts w:hint="eastAsia"/>
          <w:b/>
          <w:sz w:val="22"/>
        </w:rPr>
        <w:t>4</w:t>
      </w:r>
    </w:p>
    <w:p w:rsidR="00C42F3E" w:rsidRDefault="00C42F3E">
      <w:pPr>
        <w:pStyle w:val="af1"/>
        <w:tabs>
          <w:tab w:val="clear" w:pos="4536"/>
          <w:tab w:val="left" w:pos="1805"/>
        </w:tabs>
        <w:snapToGrid w:val="0"/>
        <w:spacing w:before="0"/>
        <w:ind w:left="1803" w:hanging="1803"/>
        <w:rPr>
          <w:rFonts w:ascii="Times New Roman" w:hAnsi="Times New Roman"/>
          <w:sz w:val="22"/>
          <w:szCs w:val="22"/>
          <w:lang w:eastAsia="zh-CN"/>
        </w:rPr>
      </w:pPr>
    </w:p>
    <w:p w:rsidR="00C42F3E" w:rsidRDefault="00040989">
      <w:pPr>
        <w:pStyle w:val="af1"/>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 xml:space="preserve">ZTE Corporation, </w:t>
      </w:r>
      <w:proofErr w:type="spellStart"/>
      <w:r>
        <w:rPr>
          <w:rFonts w:ascii="Times New Roman" w:hAnsi="Times New Roman"/>
          <w:sz w:val="22"/>
          <w:szCs w:val="22"/>
          <w:lang w:eastAsia="zh-CN"/>
        </w:rPr>
        <w:t>Sanechips</w:t>
      </w:r>
      <w:proofErr w:type="spellEnd"/>
    </w:p>
    <w:p w:rsidR="00C42F3E" w:rsidRDefault="00040989">
      <w:pPr>
        <w:pStyle w:val="af1"/>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Discussion on CSI enhancements</w:t>
      </w:r>
    </w:p>
    <w:p w:rsidR="00C42F3E" w:rsidRDefault="00040989">
      <w:pPr>
        <w:pStyle w:val="af1"/>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w:t>
      </w:r>
      <w:r>
        <w:rPr>
          <w:rFonts w:ascii="Times New Roman" w:hAnsi="Times New Roman" w:hint="eastAsia"/>
          <w:sz w:val="22"/>
          <w:szCs w:val="22"/>
          <w:lang w:eastAsia="zh-CN"/>
        </w:rPr>
        <w:t>2</w:t>
      </w:r>
      <w:r>
        <w:rPr>
          <w:rFonts w:ascii="Times New Roman" w:hAnsi="Times New Roman"/>
          <w:sz w:val="22"/>
          <w:szCs w:val="22"/>
          <w:lang w:eastAsia="zh-CN"/>
        </w:rPr>
        <w:t>.2</w:t>
      </w:r>
    </w:p>
    <w:p w:rsidR="00C42F3E" w:rsidRDefault="00040989">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C42F3E" w:rsidRDefault="00040989">
      <w:pPr>
        <w:numPr>
          <w:ilvl w:val="0"/>
          <w:numId w:val="8"/>
        </w:numPr>
        <w:tabs>
          <w:tab w:val="clear" w:pos="432"/>
        </w:tabs>
        <w:snapToGrid w:val="0"/>
        <w:spacing w:before="240" w:afterLines="50" w:line="240" w:lineRule="auto"/>
        <w:ind w:left="425" w:hanging="425"/>
        <w:outlineLvl w:val="0"/>
        <w:rPr>
          <w:b/>
          <w:sz w:val="28"/>
          <w:szCs w:val="28"/>
        </w:rPr>
      </w:pPr>
      <w:r>
        <w:rPr>
          <w:b/>
          <w:sz w:val="28"/>
          <w:szCs w:val="28"/>
        </w:rPr>
        <w:t>Introduction</w:t>
      </w:r>
      <w:bookmarkStart w:id="1" w:name="_GoBack"/>
      <w:bookmarkEnd w:id="1"/>
    </w:p>
    <w:p w:rsidR="00C42F3E" w:rsidRDefault="00040989">
      <w:r>
        <w:rPr>
          <w:lang w:val="en-GB"/>
        </w:rPr>
        <w:t>In RAN#</w:t>
      </w:r>
      <w:r>
        <w:rPr>
          <w:rFonts w:hint="eastAsia"/>
        </w:rPr>
        <w:t>102</w:t>
      </w:r>
      <w:r>
        <w:rPr>
          <w:lang w:val="en-GB"/>
        </w:rPr>
        <w:t xml:space="preserve">, </w:t>
      </w:r>
      <w:r>
        <w:t>a new WID for MIMO evolution for downlink and uplink was approved for Rel-1</w:t>
      </w:r>
      <w:r>
        <w:rPr>
          <w:rFonts w:hint="eastAsia"/>
        </w:rPr>
        <w:t>9</w:t>
      </w:r>
      <w:r>
        <w:t xml:space="preserve"> [1]. </w:t>
      </w:r>
      <w:r>
        <w:rPr>
          <w:lang w:val="en-GB"/>
        </w:rPr>
        <w:t>Among items</w:t>
      </w:r>
      <w:r>
        <w:t xml:space="preserve"> in this WID, two aspects corresponding to CSI enhancement(s) are captured, i.e., </w:t>
      </w:r>
      <w:r>
        <w:rPr>
          <w:lang w:eastAsia="en-US"/>
        </w:rPr>
        <w:t>Type-I</w:t>
      </w:r>
      <w:r>
        <w:rPr>
          <w:rFonts w:hint="eastAsia"/>
        </w:rPr>
        <w:t>/Type-II</w:t>
      </w:r>
      <w:r>
        <w:rPr>
          <w:lang w:eastAsia="en-US"/>
        </w:rPr>
        <w:t xml:space="preserve"> codebook refinement supporting up to 128 CSI-RS ports</w:t>
      </w:r>
      <w:r>
        <w:rPr>
          <w:rFonts w:hint="eastAsia"/>
        </w:rPr>
        <w:t>,</w:t>
      </w:r>
      <w:r>
        <w:t xml:space="preserve"> hybrid CSI enhancement and </w:t>
      </w:r>
      <w:r>
        <w:rPr>
          <w:lang w:eastAsia="en-US"/>
        </w:rPr>
        <w:t xml:space="preserve">UE reporting enhancement for CJT </w:t>
      </w:r>
      <w:r>
        <w:rPr>
          <w:rFonts w:hint="eastAsia"/>
        </w:rPr>
        <w:t>calibration in</w:t>
      </w:r>
      <w:r>
        <w:rPr>
          <w:lang w:eastAsia="en-US"/>
        </w:rPr>
        <w:t xml:space="preserve"> non-ideal synchronization and backhaul</w:t>
      </w:r>
      <w:r>
        <w:rPr>
          <w:rFonts w:hint="eastAsia"/>
        </w:rPr>
        <w:t xml:space="preserve"> scenario</w:t>
      </w:r>
      <w:r>
        <w:t>. In this contribution, we elaborate our views on above two aspects, respectively.</w:t>
      </w:r>
    </w:p>
    <w:p w:rsidR="00C42F3E" w:rsidRDefault="00040989">
      <w:pPr>
        <w:keepNext/>
        <w:widowControl w:val="0"/>
        <w:numPr>
          <w:ilvl w:val="0"/>
          <w:numId w:val="8"/>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CSI enhancement for up to 128 CSI-RS ports on FR1</w:t>
      </w:r>
    </w:p>
    <w:p w:rsidR="00C42F3E" w:rsidRDefault="00040989">
      <w:pPr>
        <w:rPr>
          <w:lang w:val="en-GB"/>
        </w:rPr>
      </w:pPr>
      <w:r>
        <w:rPr>
          <w:rFonts w:hint="eastAsia"/>
        </w:rPr>
        <w:t>As the</w:t>
      </w:r>
      <w:r>
        <w:rPr>
          <w:rFonts w:hint="eastAsia"/>
          <w:lang w:val="en-GB"/>
        </w:rPr>
        <w:t xml:space="preserve"> MIMO</w:t>
      </w:r>
      <w:r>
        <w:rPr>
          <w:rFonts w:hint="eastAsia"/>
        </w:rPr>
        <w:t xml:space="preserve"> technology</w:t>
      </w:r>
      <w:r>
        <w:rPr>
          <w:rFonts w:hint="eastAsia"/>
          <w:lang w:val="en-GB"/>
        </w:rPr>
        <w:t xml:space="preserve"> </w:t>
      </w:r>
      <w:r>
        <w:rPr>
          <w:rFonts w:hint="eastAsia"/>
        </w:rPr>
        <w:t>develops</w:t>
      </w:r>
      <w:r>
        <w:rPr>
          <w:rFonts w:hint="eastAsia"/>
          <w:lang w:val="en-GB"/>
        </w:rPr>
        <w:t xml:space="preserve"> from LTE to NR (then to NR-Advanced), </w:t>
      </w:r>
      <w:r>
        <w:rPr>
          <w:rFonts w:hint="eastAsia"/>
        </w:rPr>
        <w:t>the number of antenna ports has been continuously increased to achieve better coverage and higher spectrum efficiency. A</w:t>
      </w:r>
      <w:r>
        <w:rPr>
          <w:lang w:val="en-GB"/>
        </w:rPr>
        <w:t>mong items</w:t>
      </w:r>
      <w:r>
        <w:t xml:space="preserve"> in </w:t>
      </w:r>
      <w:r>
        <w:rPr>
          <w:rFonts w:hint="eastAsia"/>
        </w:rPr>
        <w:t>the</w:t>
      </w:r>
      <w:r>
        <w:t xml:space="preserve"> WID for DL</w:t>
      </w:r>
      <w:r>
        <w:rPr>
          <w:rFonts w:hint="eastAsia"/>
        </w:rPr>
        <w:t>/UL</w:t>
      </w:r>
      <w:r>
        <w:t xml:space="preserve"> MIMO, </w:t>
      </w:r>
      <w:r>
        <w:rPr>
          <w:lang w:val="en-GB"/>
        </w:rPr>
        <w:t xml:space="preserve">the aspects for </w:t>
      </w:r>
      <w:r>
        <w:rPr>
          <w:lang w:eastAsia="en-US"/>
        </w:rPr>
        <w:t xml:space="preserve">CSI </w:t>
      </w:r>
      <w:r>
        <w:t xml:space="preserve">enhancement </w:t>
      </w:r>
      <w:r>
        <w:rPr>
          <w:rFonts w:hint="eastAsia"/>
        </w:rPr>
        <w:t>supporting</w:t>
      </w:r>
      <w:r>
        <w:rPr>
          <w:lang w:eastAsia="en-US"/>
        </w:rPr>
        <w:t xml:space="preserve"> up to 128 CSI-RS ports, targeting FR1</w:t>
      </w:r>
      <w:r>
        <w:rPr>
          <w:rFonts w:hint="eastAsia"/>
        </w:rPr>
        <w:t>,</w:t>
      </w:r>
      <w:r>
        <w:rPr>
          <w:lang w:val="en-GB"/>
        </w:rPr>
        <w:t xml:space="preserve"> are listed </w:t>
      </w:r>
      <w:r>
        <w:t xml:space="preserve">as </w:t>
      </w:r>
      <w:r>
        <w:rPr>
          <w:lang w:val="en-GB"/>
        </w:rPr>
        <w:t>below.</w:t>
      </w:r>
    </w:p>
    <w:tbl>
      <w:tblPr>
        <w:tblStyle w:val="af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C42F3E">
        <w:tc>
          <w:tcPr>
            <w:tcW w:w="9351" w:type="dxa"/>
          </w:tcPr>
          <w:p w:rsidR="00C42F3E" w:rsidRDefault="00040989">
            <w:pPr>
              <w:numPr>
                <w:ilvl w:val="0"/>
                <w:numId w:val="9"/>
              </w:numPr>
              <w:snapToGrid w:val="0"/>
              <w:spacing w:before="0" w:after="0"/>
              <w:rPr>
                <w:rFonts w:eastAsia="Times New Roman"/>
                <w:szCs w:val="24"/>
                <w:lang w:eastAsia="en-US"/>
              </w:rPr>
            </w:pPr>
            <w:r>
              <w:rPr>
                <w:rFonts w:eastAsia="Times New Roman"/>
                <w:szCs w:val="24"/>
                <w:lang w:eastAsia="en-US"/>
              </w:rPr>
              <w:t>Specify CSI support for up to 128 CSI-RS ports, targeting FR1</w:t>
            </w:r>
          </w:p>
          <w:p w:rsidR="00C42F3E" w:rsidRDefault="00040989">
            <w:pPr>
              <w:numPr>
                <w:ilvl w:val="1"/>
                <w:numId w:val="9"/>
              </w:numPr>
              <w:snapToGrid w:val="0"/>
              <w:spacing w:before="0" w:after="0"/>
              <w:rPr>
                <w:rFonts w:eastAsia="Times New Roman"/>
                <w:szCs w:val="24"/>
                <w:lang w:eastAsia="en-US"/>
              </w:rPr>
            </w:pPr>
            <w:r>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rsidR="00C42F3E" w:rsidRDefault="00040989">
            <w:pPr>
              <w:numPr>
                <w:ilvl w:val="1"/>
                <w:numId w:val="9"/>
              </w:numPr>
              <w:snapToGrid w:val="0"/>
              <w:spacing w:before="0" w:after="0"/>
              <w:rPr>
                <w:rFonts w:eastAsia="Times New Roman"/>
                <w:szCs w:val="24"/>
                <w:lang w:eastAsia="en-US"/>
              </w:rPr>
            </w:pPr>
            <w:r>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C42F3E" w:rsidRDefault="00040989">
            <w:pPr>
              <w:numPr>
                <w:ilvl w:val="1"/>
                <w:numId w:val="9"/>
              </w:numPr>
              <w:snapToGrid w:val="0"/>
              <w:spacing w:before="0" w:after="0"/>
              <w:rPr>
                <w:szCs w:val="20"/>
              </w:rPr>
            </w:pPr>
            <w:r>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tc>
      </w:tr>
    </w:tbl>
    <w:p w:rsidR="00C42F3E" w:rsidRDefault="00040989">
      <w:pPr>
        <w:numPr>
          <w:ilvl w:val="1"/>
          <w:numId w:val="8"/>
        </w:numPr>
        <w:tabs>
          <w:tab w:val="clear" w:pos="576"/>
        </w:tabs>
        <w:snapToGrid w:val="0"/>
        <w:spacing w:before="240" w:afterLines="50" w:line="240" w:lineRule="auto"/>
        <w:ind w:left="567" w:hanging="567"/>
        <w:outlineLvl w:val="1"/>
        <w:rPr>
          <w:b/>
          <w:sz w:val="24"/>
          <w:szCs w:val="20"/>
        </w:rPr>
      </w:pPr>
      <w:r>
        <w:rPr>
          <w:rFonts w:hint="eastAsia"/>
          <w:b/>
          <w:sz w:val="24"/>
          <w:szCs w:val="20"/>
        </w:rPr>
        <w:t>Type-I</w:t>
      </w:r>
      <w:r>
        <w:rPr>
          <w:b/>
          <w:sz w:val="24"/>
          <w:szCs w:val="20"/>
        </w:rPr>
        <w:t>/Type-II</w:t>
      </w:r>
      <w:r>
        <w:rPr>
          <w:rFonts w:hint="eastAsia"/>
          <w:b/>
          <w:sz w:val="24"/>
          <w:szCs w:val="20"/>
        </w:rPr>
        <w:t xml:space="preserve"> codebook refinement</w:t>
      </w:r>
    </w:p>
    <w:p w:rsidR="00C42F3E" w:rsidRDefault="00040989">
      <w:pPr>
        <w:pStyle w:val="aff2"/>
        <w:numPr>
          <w:ilvl w:val="2"/>
          <w:numId w:val="8"/>
        </w:numPr>
        <w:snapToGrid w:val="0"/>
        <w:spacing w:beforeLines="30" w:before="72" w:afterLines="30" w:after="72" w:line="300" w:lineRule="auto"/>
        <w:ind w:firstLineChars="0"/>
        <w:textAlignment w:val="center"/>
        <w:outlineLvl w:val="2"/>
        <w:rPr>
          <w:b/>
          <w:bCs/>
          <w:sz w:val="21"/>
          <w:szCs w:val="21"/>
        </w:rPr>
      </w:pPr>
      <w:r>
        <w:rPr>
          <w:b/>
          <w:bCs/>
          <w:sz w:val="21"/>
          <w:szCs w:val="21"/>
        </w:rPr>
        <w:t>3-bit scaling factor</w:t>
      </w:r>
    </w:p>
    <w:p w:rsidR="00C42F3E" w:rsidRDefault="00040989">
      <w:r>
        <w:rPr>
          <w:rFonts w:hint="eastAsia"/>
        </w:rPr>
        <w:t>R</w:t>
      </w:r>
      <w:r>
        <w:t>egarding</w:t>
      </w:r>
      <w:r>
        <w:rPr>
          <w:rFonts w:hint="eastAsia"/>
        </w:rPr>
        <w:t xml:space="preserve"> the</w:t>
      </w:r>
      <w:r>
        <w:t xml:space="preserve"> 3-bit scaling factor for Type-I codebook, the following agreement</w:t>
      </w:r>
      <w:r>
        <w:rPr>
          <w:rFonts w:hint="eastAsia"/>
        </w:rPr>
        <w:t>s</w:t>
      </w:r>
      <w:r>
        <w:t xml:space="preserve"> w</w:t>
      </w:r>
      <w:r>
        <w:rPr>
          <w:rFonts w:hint="eastAsia"/>
        </w:rPr>
        <w:t>ere</w:t>
      </w:r>
      <w:r>
        <w:t xml:space="preserve"> reached in RAN1#118</w:t>
      </w:r>
      <w:r>
        <w:rPr>
          <w:rFonts w:hint="eastAsia"/>
        </w:rPr>
        <w:t>bis</w:t>
      </w:r>
      <w:r w:rsidR="00366E5E">
        <w:t xml:space="preserve"> </w:t>
      </w:r>
      <w:r w:rsidR="00366E5E">
        <w:rPr>
          <w:rFonts w:hint="eastAsia"/>
        </w:rPr>
        <w:t>mee</w:t>
      </w:r>
      <w:r w:rsidR="00366E5E">
        <w:t>ting</w:t>
      </w:r>
      <w:r>
        <w:t>.</w:t>
      </w:r>
    </w:p>
    <w:tbl>
      <w:tblPr>
        <w:tblStyle w:val="af9"/>
        <w:tblW w:w="0" w:type="auto"/>
        <w:tblLook w:val="04A0" w:firstRow="1" w:lastRow="0" w:firstColumn="1" w:lastColumn="0" w:noHBand="0" w:noVBand="1"/>
      </w:tblPr>
      <w:tblGrid>
        <w:gridCol w:w="9350"/>
      </w:tblGrid>
      <w:tr w:rsidR="00C42F3E">
        <w:tc>
          <w:tcPr>
            <w:tcW w:w="9350" w:type="dxa"/>
          </w:tcPr>
          <w:p w:rsidR="00C42F3E" w:rsidRDefault="00040989" w:rsidP="00905627">
            <w:pPr>
              <w:spacing w:before="0" w:after="0"/>
              <w:jc w:val="left"/>
              <w:rPr>
                <w:rFonts w:eastAsia="Batang"/>
                <w:lang w:val="en-GB" w:eastAsia="en-US"/>
              </w:rPr>
            </w:pPr>
            <w:r>
              <w:rPr>
                <w:rFonts w:eastAsia="Batang"/>
                <w:b/>
                <w:bCs/>
                <w:szCs w:val="24"/>
                <w:u w:val="single"/>
                <w:lang w:val="en-GB"/>
              </w:rPr>
              <w:t>Agreement (RAN1#118</w:t>
            </w:r>
            <w:r>
              <w:rPr>
                <w:rFonts w:hint="eastAsia"/>
                <w:b/>
                <w:bCs/>
                <w:szCs w:val="24"/>
                <w:u w:val="single"/>
              </w:rPr>
              <w:t>bis</w:t>
            </w:r>
            <w:r>
              <w:rPr>
                <w:rFonts w:eastAsia="Batang"/>
                <w:b/>
                <w:bCs/>
                <w:szCs w:val="24"/>
                <w:u w:val="single"/>
                <w:lang w:val="en-GB"/>
              </w:rPr>
              <w:t>)</w:t>
            </w:r>
          </w:p>
          <w:p w:rsidR="00C42F3E" w:rsidRDefault="00040989" w:rsidP="00A22029">
            <w:pPr>
              <w:snapToGrid w:val="0"/>
              <w:spacing w:before="0" w:after="0"/>
              <w:jc w:val="left"/>
              <w:rPr>
                <w:rFonts w:eastAsia="Batang"/>
                <w:iCs/>
                <w:lang w:val="en-GB" w:eastAsia="en-US"/>
              </w:rPr>
            </w:pPr>
            <w:r>
              <w:rPr>
                <w:rFonts w:eastAsia="Batang"/>
                <w:iCs/>
                <w:lang w:val="en-GB" w:eastAsia="en-US"/>
              </w:rPr>
              <w:t>For the Rel-19 Type-I SP codebook refinement for 48, 64, and 128 CSI-RS ports, regarding the support for the 3-bit scaling factor(s) for RI=</w:t>
            </w:r>
            <w:r>
              <w:rPr>
                <w:rFonts w:eastAsia="Batang"/>
                <w:i/>
                <w:iCs/>
                <w:lang w:val="en-GB" w:eastAsia="en-US"/>
              </w:rPr>
              <w:t>v</w:t>
            </w:r>
            <w:r>
              <w:rPr>
                <w:rFonts w:eastAsia="Batang"/>
                <w:iCs/>
                <w:lang w:val="en-GB" w:eastAsia="en-US"/>
              </w:rPr>
              <w:t xml:space="preserve"> &gt;1, support only for RI=</w:t>
            </w:r>
            <w:r>
              <w:rPr>
                <w:rFonts w:eastAsia="Batang"/>
                <w:i/>
                <w:iCs/>
                <w:lang w:val="en-GB" w:eastAsia="en-US"/>
              </w:rPr>
              <w:t>v</w:t>
            </w:r>
            <w:r>
              <w:rPr>
                <w:rFonts w:eastAsia="Batang"/>
                <w:iCs/>
                <w:lang w:val="en-GB" w:eastAsia="en-US"/>
              </w:rPr>
              <w:t xml:space="preserve">=2 without per-SD-basis-vector/layer power adjustment/boosting </w:t>
            </w:r>
          </w:p>
          <w:p w:rsidR="00C42F3E" w:rsidRDefault="00040989" w:rsidP="00A22029">
            <w:pPr>
              <w:numPr>
                <w:ilvl w:val="0"/>
                <w:numId w:val="10"/>
              </w:numPr>
              <w:snapToGrid w:val="0"/>
              <w:spacing w:before="0" w:after="0"/>
              <w:contextualSpacing/>
              <w:jc w:val="left"/>
              <w:rPr>
                <w:rFonts w:eastAsia="Batang"/>
                <w:lang w:val="en-GB"/>
              </w:rPr>
            </w:pPr>
            <w:r>
              <w:rPr>
                <w:rFonts w:eastAsia="Batang"/>
                <w:lang w:val="en-GB"/>
              </w:rPr>
              <w:t>FFS: Details on per-layer scaling factor applied to each of the selected SD basis vectors, extending the agreed scaling factor for RI=</w:t>
            </w:r>
            <w:r>
              <w:rPr>
                <w:rFonts w:eastAsia="Batang"/>
                <w:i/>
                <w:iCs/>
                <w:lang w:val="en-GB"/>
              </w:rPr>
              <w:t xml:space="preserve"> v</w:t>
            </w:r>
            <w:r>
              <w:rPr>
                <w:rFonts w:eastAsia="Batang"/>
                <w:lang w:val="en-GB"/>
              </w:rPr>
              <w:t xml:space="preserve"> =1 </w:t>
            </w:r>
            <m:oMath>
              <m:sSub>
                <m:sSubPr>
                  <m:ctrlPr>
                    <w:rPr>
                      <w:rFonts w:ascii="Cambria Math" w:eastAsia="Batang" w:hAnsi="Cambria Math"/>
                      <w:i/>
                      <w:iCs/>
                      <w:lang w:val="en-GB"/>
                    </w:rPr>
                  </m:ctrlPr>
                </m:sSubPr>
                <m:e>
                  <m:r>
                    <w:rPr>
                      <w:rFonts w:ascii="Cambria Math" w:eastAsia="Batang" w:hAnsi="Cambria Math"/>
                      <w:lang w:val="en-GB"/>
                    </w:rPr>
                    <m:t>s</m:t>
                  </m:r>
                </m:e>
                <m:sub>
                  <m:r>
                    <w:rPr>
                      <w:rFonts w:ascii="Cambria Math" w:eastAsia="Batang" w:hAnsi="Cambria Math"/>
                      <w:lang w:val="en-GB"/>
                    </w:rPr>
                    <m:t>i</m:t>
                  </m:r>
                </m:sub>
              </m:sSub>
              <m:r>
                <w:rPr>
                  <w:rFonts w:ascii="Cambria Math" w:eastAsia="Batang" w:hAnsi="Cambria Math"/>
                  <w:lang w:val="en-GB"/>
                </w:rPr>
                <m:t>∈</m:t>
              </m:r>
              <m:d>
                <m:dPr>
                  <m:begChr m:val="{"/>
                  <m:endChr m:val="}"/>
                  <m:ctrlPr>
                    <w:rPr>
                      <w:rFonts w:ascii="Cambria Math" w:eastAsia="Batang" w:hAnsi="Cambria Math"/>
                      <w:i/>
                      <w:iCs/>
                      <w:lang w:val="en-GB"/>
                    </w:rPr>
                  </m:ctrlPr>
                </m:dPr>
                <m:e>
                  <m:rad>
                    <m:radPr>
                      <m:degHide m:val="1"/>
                      <m:ctrlPr>
                        <w:rPr>
                          <w:rFonts w:ascii="Cambria Math" w:eastAsia="Batang" w:hAnsi="Cambria Math"/>
                          <w:i/>
                          <w:iCs/>
                          <w:lang w:val="en-GB"/>
                        </w:rPr>
                      </m:ctrlPr>
                    </m:radPr>
                    <m:deg/>
                    <m:e>
                      <m:r>
                        <w:rPr>
                          <w:rFonts w:ascii="Cambria Math" w:eastAsia="Batang" w:hAnsi="Cambria Math"/>
                          <w:lang w:val="en-GB"/>
                        </w:rPr>
                        <m:t>1</m:t>
                      </m:r>
                    </m:e>
                  </m:rad>
                  <m:r>
                    <m:rPr>
                      <m:sty m:val="p"/>
                    </m:rPr>
                    <w:rPr>
                      <w:rFonts w:ascii="Cambria Math" w:eastAsia="Batang" w:hAnsi="Cambria Math"/>
                      <w:lang w:val="en-GB"/>
                    </w:rPr>
                    <m:t>, </m:t>
                  </m:r>
                  <m:rad>
                    <m:radPr>
                      <m:degHide m:val="1"/>
                      <m:ctrlPr>
                        <w:rPr>
                          <w:rFonts w:ascii="Cambria Math" w:eastAsia="Batang" w:hAnsi="Cambria Math"/>
                          <w:i/>
                          <w:iCs/>
                          <w:lang w:val="en-GB"/>
                        </w:rPr>
                      </m:ctrlPr>
                    </m:radPr>
                    <m:deg/>
                    <m:e>
                      <m:f>
                        <m:fPr>
                          <m:ctrlPr>
                            <w:rPr>
                              <w:rFonts w:ascii="Cambria Math" w:eastAsia="Batang" w:hAnsi="Cambria Math"/>
                              <w:i/>
                              <w:iCs/>
                              <w:lang w:val="en-GB"/>
                            </w:rPr>
                          </m:ctrlPr>
                        </m:fPr>
                        <m:num>
                          <m:r>
                            <w:rPr>
                              <w:rFonts w:ascii="Cambria Math" w:eastAsia="Batang" w:hAnsi="Cambria Math"/>
                              <w:lang w:val="en-GB"/>
                            </w:rPr>
                            <m:t>1</m:t>
                          </m:r>
                        </m:num>
                        <m:den>
                          <m:r>
                            <w:rPr>
                              <w:rFonts w:ascii="Cambria Math" w:eastAsia="Batang" w:hAnsi="Cambria Math"/>
                              <w:lang w:val="en-GB"/>
                            </w:rPr>
                            <m:t>2</m:t>
                          </m:r>
                        </m:den>
                      </m:f>
                    </m:e>
                  </m:rad>
                  <m:r>
                    <m:rPr>
                      <m:sty m:val="p"/>
                    </m:rPr>
                    <w:rPr>
                      <w:rFonts w:ascii="Cambria Math" w:eastAsia="Batang" w:hAnsi="Cambria Math"/>
                      <w:lang w:val="en-GB"/>
                    </w:rPr>
                    <m:t>, </m:t>
                  </m:r>
                  <m:rad>
                    <m:radPr>
                      <m:degHide m:val="1"/>
                      <m:ctrlPr>
                        <w:rPr>
                          <w:rFonts w:ascii="Cambria Math" w:eastAsia="Batang" w:hAnsi="Cambria Math"/>
                          <w:i/>
                          <w:iCs/>
                          <w:lang w:val="en-GB"/>
                        </w:rPr>
                      </m:ctrlPr>
                    </m:radPr>
                    <m:deg/>
                    <m:e>
                      <m:f>
                        <m:fPr>
                          <m:ctrlPr>
                            <w:rPr>
                              <w:rFonts w:ascii="Cambria Math" w:eastAsia="Batang" w:hAnsi="Cambria Math"/>
                              <w:i/>
                              <w:iCs/>
                              <w:lang w:val="en-GB"/>
                            </w:rPr>
                          </m:ctrlPr>
                        </m:fPr>
                        <m:num>
                          <m:r>
                            <w:rPr>
                              <w:rFonts w:ascii="Cambria Math" w:eastAsia="Batang" w:hAnsi="Cambria Math"/>
                              <w:lang w:val="en-GB"/>
                            </w:rPr>
                            <m:t>1</m:t>
                          </m:r>
                        </m:num>
                        <m:den>
                          <m:r>
                            <w:rPr>
                              <w:rFonts w:ascii="Cambria Math" w:eastAsia="Batang" w:hAnsi="Cambria Math"/>
                              <w:lang w:val="en-GB"/>
                            </w:rPr>
                            <m:t>3</m:t>
                          </m:r>
                        </m:den>
                      </m:f>
                    </m:e>
                  </m:rad>
                  <m:r>
                    <m:rPr>
                      <m:sty m:val="p"/>
                    </m:rPr>
                    <w:rPr>
                      <w:rFonts w:ascii="Cambria Math" w:eastAsia="Batang" w:hAnsi="Cambria Math"/>
                      <w:lang w:val="en-GB"/>
                    </w:rPr>
                    <m:t> ,</m:t>
                  </m:r>
                  <m:rad>
                    <m:radPr>
                      <m:degHide m:val="1"/>
                      <m:ctrlPr>
                        <w:rPr>
                          <w:rFonts w:ascii="Cambria Math" w:eastAsia="Batang" w:hAnsi="Cambria Math"/>
                          <w:i/>
                          <w:iCs/>
                          <w:lang w:val="en-GB"/>
                        </w:rPr>
                      </m:ctrlPr>
                    </m:radPr>
                    <m:deg/>
                    <m:e>
                      <m:f>
                        <m:fPr>
                          <m:ctrlPr>
                            <w:rPr>
                              <w:rFonts w:ascii="Cambria Math" w:eastAsia="Batang" w:hAnsi="Cambria Math"/>
                              <w:i/>
                              <w:iCs/>
                              <w:lang w:val="en-GB"/>
                            </w:rPr>
                          </m:ctrlPr>
                        </m:fPr>
                        <m:num>
                          <m:r>
                            <w:rPr>
                              <w:rFonts w:ascii="Cambria Math" w:eastAsia="Batang" w:hAnsi="Cambria Math"/>
                              <w:lang w:val="en-GB"/>
                            </w:rPr>
                            <m:t>1</m:t>
                          </m:r>
                        </m:num>
                        <m:den>
                          <m:r>
                            <w:rPr>
                              <w:rFonts w:ascii="Cambria Math" w:eastAsia="Batang" w:hAnsi="Cambria Math"/>
                              <w:lang w:val="en-GB"/>
                            </w:rPr>
                            <m:t>4</m:t>
                          </m:r>
                        </m:den>
                      </m:f>
                    </m:e>
                  </m:rad>
                  <m:r>
                    <m:rPr>
                      <m:sty m:val="p"/>
                    </m:rPr>
                    <w:rPr>
                      <w:rFonts w:ascii="Cambria Math" w:eastAsia="Batang" w:hAnsi="Cambria Math"/>
                      <w:lang w:val="en-GB"/>
                    </w:rPr>
                    <m:t>,</m:t>
                  </m:r>
                  <m:rad>
                    <m:radPr>
                      <m:degHide m:val="1"/>
                      <m:ctrlPr>
                        <w:rPr>
                          <w:rFonts w:ascii="Cambria Math" w:eastAsia="Batang" w:hAnsi="Cambria Math"/>
                          <w:i/>
                          <w:iCs/>
                          <w:lang w:val="en-GB"/>
                        </w:rPr>
                      </m:ctrlPr>
                    </m:radPr>
                    <m:deg/>
                    <m:e>
                      <m:f>
                        <m:fPr>
                          <m:ctrlPr>
                            <w:rPr>
                              <w:rFonts w:ascii="Cambria Math" w:eastAsia="Batang" w:hAnsi="Cambria Math"/>
                              <w:i/>
                              <w:iCs/>
                              <w:lang w:val="en-GB"/>
                            </w:rPr>
                          </m:ctrlPr>
                        </m:fPr>
                        <m:num>
                          <m:r>
                            <w:rPr>
                              <w:rFonts w:ascii="Cambria Math" w:eastAsia="Batang" w:hAnsi="Cambria Math"/>
                              <w:lang w:val="en-GB"/>
                            </w:rPr>
                            <m:t>1</m:t>
                          </m:r>
                        </m:num>
                        <m:den>
                          <m:r>
                            <w:rPr>
                              <w:rFonts w:ascii="Cambria Math" w:eastAsia="Batang" w:hAnsi="Cambria Math"/>
                              <w:lang w:val="en-GB"/>
                            </w:rPr>
                            <m:t>6</m:t>
                          </m:r>
                        </m:den>
                      </m:f>
                    </m:e>
                  </m:rad>
                  <m:r>
                    <m:rPr>
                      <m:sty m:val="p"/>
                    </m:rPr>
                    <w:rPr>
                      <w:rFonts w:ascii="Cambria Math" w:eastAsia="Batang" w:hAnsi="Cambria Math"/>
                      <w:lang w:val="en-GB"/>
                    </w:rPr>
                    <m:t>,</m:t>
                  </m:r>
                  <m:rad>
                    <m:radPr>
                      <m:degHide m:val="1"/>
                      <m:ctrlPr>
                        <w:rPr>
                          <w:rFonts w:ascii="Cambria Math" w:eastAsia="Batang" w:hAnsi="Cambria Math"/>
                          <w:i/>
                          <w:iCs/>
                          <w:lang w:val="en-GB"/>
                        </w:rPr>
                      </m:ctrlPr>
                    </m:radPr>
                    <m:deg/>
                    <m:e>
                      <m:f>
                        <m:fPr>
                          <m:ctrlPr>
                            <w:rPr>
                              <w:rFonts w:ascii="Cambria Math" w:eastAsia="Batang" w:hAnsi="Cambria Math"/>
                              <w:i/>
                              <w:iCs/>
                              <w:lang w:val="en-GB"/>
                            </w:rPr>
                          </m:ctrlPr>
                        </m:fPr>
                        <m:num>
                          <m:r>
                            <w:rPr>
                              <w:rFonts w:ascii="Cambria Math" w:eastAsia="Batang" w:hAnsi="Cambria Math"/>
                              <w:lang w:val="en-GB"/>
                            </w:rPr>
                            <m:t>1</m:t>
                          </m:r>
                        </m:num>
                        <m:den>
                          <m:r>
                            <w:rPr>
                              <w:rFonts w:ascii="Cambria Math" w:eastAsia="Batang" w:hAnsi="Cambria Math"/>
                              <w:lang w:val="en-GB"/>
                            </w:rPr>
                            <m:t>8</m:t>
                          </m:r>
                        </m:den>
                      </m:f>
                    </m:e>
                  </m:rad>
                  <m:r>
                    <m:rPr>
                      <m:sty m:val="p"/>
                    </m:rPr>
                    <w:rPr>
                      <w:rFonts w:ascii="Cambria Math" w:eastAsia="Batang" w:hAnsi="Cambria Math"/>
                      <w:lang w:val="en-GB"/>
                    </w:rPr>
                    <m:t>,</m:t>
                  </m:r>
                  <m:rad>
                    <m:radPr>
                      <m:degHide m:val="1"/>
                      <m:ctrlPr>
                        <w:rPr>
                          <w:rFonts w:ascii="Cambria Math" w:eastAsia="Batang" w:hAnsi="Cambria Math"/>
                          <w:i/>
                          <w:iCs/>
                          <w:lang w:val="en-GB"/>
                        </w:rPr>
                      </m:ctrlPr>
                    </m:radPr>
                    <m:deg/>
                    <m:e>
                      <m:f>
                        <m:fPr>
                          <m:ctrlPr>
                            <w:rPr>
                              <w:rFonts w:ascii="Cambria Math" w:eastAsia="Batang" w:hAnsi="Cambria Math"/>
                              <w:i/>
                              <w:iCs/>
                              <w:lang w:val="en-GB"/>
                            </w:rPr>
                          </m:ctrlPr>
                        </m:fPr>
                        <m:num>
                          <m:r>
                            <w:rPr>
                              <w:rFonts w:ascii="Cambria Math" w:eastAsia="Batang" w:hAnsi="Cambria Math"/>
                              <w:lang w:val="en-GB"/>
                            </w:rPr>
                            <m:t>1</m:t>
                          </m:r>
                        </m:num>
                        <m:den>
                          <m:r>
                            <w:rPr>
                              <w:rFonts w:ascii="Cambria Math" w:eastAsia="Batang" w:hAnsi="Cambria Math"/>
                              <w:lang w:val="en-GB"/>
                            </w:rPr>
                            <m:t>12</m:t>
                          </m:r>
                        </m:den>
                      </m:f>
                    </m:e>
                  </m:rad>
                  <m:r>
                    <m:rPr>
                      <m:sty m:val="p"/>
                    </m:rPr>
                    <w:rPr>
                      <w:rFonts w:ascii="Cambria Math" w:eastAsia="Batang" w:hAnsi="Cambria Math"/>
                      <w:lang w:val="en-GB"/>
                    </w:rPr>
                    <m:t>,</m:t>
                  </m:r>
                  <m:rad>
                    <m:radPr>
                      <m:degHide m:val="1"/>
                      <m:ctrlPr>
                        <w:rPr>
                          <w:rFonts w:ascii="Cambria Math" w:eastAsia="Batang" w:hAnsi="Cambria Math"/>
                          <w:i/>
                          <w:iCs/>
                          <w:lang w:val="en-GB"/>
                        </w:rPr>
                      </m:ctrlPr>
                    </m:radPr>
                    <m:deg/>
                    <m:e>
                      <m:f>
                        <m:fPr>
                          <m:ctrlPr>
                            <w:rPr>
                              <w:rFonts w:ascii="Cambria Math" w:eastAsia="Batang" w:hAnsi="Cambria Math"/>
                              <w:i/>
                              <w:iCs/>
                              <w:lang w:val="en-GB"/>
                            </w:rPr>
                          </m:ctrlPr>
                        </m:fPr>
                        <m:num>
                          <m:r>
                            <w:rPr>
                              <w:rFonts w:ascii="Cambria Math" w:eastAsia="Batang" w:hAnsi="Cambria Math"/>
                              <w:lang w:val="en-GB"/>
                            </w:rPr>
                            <m:t>1</m:t>
                          </m:r>
                        </m:num>
                        <m:den>
                          <m:r>
                            <w:rPr>
                              <w:rFonts w:ascii="Cambria Math" w:eastAsia="Batang" w:hAnsi="Cambria Math"/>
                              <w:lang w:val="en-GB"/>
                            </w:rPr>
                            <m:t>16</m:t>
                          </m:r>
                        </m:den>
                      </m:f>
                    </m:e>
                  </m:rad>
                </m:e>
              </m:d>
            </m:oMath>
            <w:r>
              <w:rPr>
                <w:rFonts w:eastAsia="Batang"/>
                <w:iCs/>
                <w:lang w:val="en-GB"/>
              </w:rPr>
              <w:t xml:space="preserve"> </w:t>
            </w:r>
            <w:r>
              <w:rPr>
                <w:rFonts w:eastAsia="Batang"/>
                <w:lang w:val="en-GB"/>
              </w:rPr>
              <w:t>(in RAN1#117)</w:t>
            </w:r>
          </w:p>
          <w:p w:rsidR="00C42F3E" w:rsidRDefault="00040989" w:rsidP="00A22029">
            <w:pPr>
              <w:widowControl w:val="0"/>
              <w:snapToGrid w:val="0"/>
              <w:spacing w:before="0" w:after="0"/>
              <w:jc w:val="left"/>
              <w:rPr>
                <w:rFonts w:eastAsia="Batang"/>
                <w:iCs/>
                <w:lang w:val="en-GB" w:eastAsia="ko-KR"/>
              </w:rPr>
            </w:pPr>
            <w:r>
              <w:rPr>
                <w:rFonts w:eastAsia="Batang"/>
                <w:iCs/>
                <w:lang w:val="en-GB" w:eastAsia="en-US"/>
              </w:rPr>
              <w:t>This feature is a separate UE capability from soft scaling for RI=</w:t>
            </w:r>
            <w:r>
              <w:rPr>
                <w:rFonts w:eastAsia="Batang"/>
                <w:i/>
                <w:iCs/>
                <w:lang w:val="en-GB" w:eastAsia="en-US"/>
              </w:rPr>
              <w:t>v</w:t>
            </w:r>
            <w:r>
              <w:rPr>
                <w:rFonts w:eastAsia="Batang"/>
                <w:iCs/>
                <w:lang w:val="en-GB" w:eastAsia="en-US"/>
              </w:rPr>
              <w:t>=1</w:t>
            </w:r>
            <w:r>
              <w:rPr>
                <w:rFonts w:eastAsia="Batang"/>
                <w:iCs/>
                <w:lang w:val="en-GB" w:eastAsia="ko-KR"/>
              </w:rPr>
              <w:t>. Introduce new RRC parameter to enable the feature.</w:t>
            </w:r>
          </w:p>
          <w:p w:rsidR="00C42F3E" w:rsidRDefault="00040989" w:rsidP="00A22029">
            <w:pPr>
              <w:widowControl w:val="0"/>
              <w:snapToGrid w:val="0"/>
              <w:spacing w:before="0" w:after="0"/>
              <w:jc w:val="left"/>
              <w:rPr>
                <w:rFonts w:eastAsia="Batang"/>
                <w:b/>
                <w:lang w:val="en-GB" w:eastAsia="en-US"/>
              </w:rPr>
            </w:pPr>
            <w:r>
              <w:rPr>
                <w:rFonts w:eastAsia="Batang"/>
                <w:iCs/>
                <w:lang w:val="en-GB" w:eastAsia="en-US"/>
              </w:rPr>
              <w:t>Note: This doesn’t preclude the use of power boosting at the NW side by implementation</w:t>
            </w:r>
          </w:p>
          <w:p w:rsidR="00C42F3E" w:rsidRDefault="00040989" w:rsidP="00905627">
            <w:pPr>
              <w:spacing w:before="0" w:after="0"/>
              <w:jc w:val="left"/>
              <w:rPr>
                <w:rFonts w:eastAsia="Batang"/>
                <w:lang w:val="en-GB" w:eastAsia="en-US"/>
              </w:rPr>
            </w:pPr>
            <w:r>
              <w:rPr>
                <w:rFonts w:eastAsia="Batang"/>
                <w:b/>
                <w:bCs/>
                <w:szCs w:val="24"/>
                <w:u w:val="single"/>
                <w:lang w:val="en-GB"/>
              </w:rPr>
              <w:lastRenderedPageBreak/>
              <w:t>Agreement (RAN1#118</w:t>
            </w:r>
            <w:r>
              <w:rPr>
                <w:rFonts w:hint="eastAsia"/>
                <w:b/>
                <w:bCs/>
                <w:szCs w:val="24"/>
                <w:u w:val="single"/>
              </w:rPr>
              <w:t>bis</w:t>
            </w:r>
            <w:r>
              <w:rPr>
                <w:rFonts w:eastAsia="Batang"/>
                <w:b/>
                <w:bCs/>
                <w:szCs w:val="24"/>
                <w:u w:val="single"/>
                <w:lang w:val="en-GB"/>
              </w:rPr>
              <w:t>)</w:t>
            </w:r>
          </w:p>
          <w:p w:rsidR="00C42F3E" w:rsidRDefault="00040989" w:rsidP="00A22029">
            <w:pPr>
              <w:snapToGrid w:val="0"/>
              <w:spacing w:before="0" w:after="0"/>
              <w:rPr>
                <w:rFonts w:eastAsia="Batang"/>
                <w:iCs/>
                <w:lang w:val="en-GB" w:eastAsia="en-US"/>
              </w:rPr>
            </w:pPr>
            <w:r>
              <w:rPr>
                <w:rFonts w:eastAsia="Batang"/>
                <w:iCs/>
                <w:lang w:val="en-GB" w:eastAsia="en-US"/>
              </w:rPr>
              <w:t xml:space="preserve">For the Rel-19 Type-I SP codebook refinement for 48, 64, and 128 CSI-RS ports, regarding </w:t>
            </w:r>
            <w:r>
              <w:rPr>
                <w:rFonts w:eastAsia="Batang"/>
                <w:lang w:val="en-GB" w:eastAsia="en-US"/>
              </w:rPr>
              <w:t>per-layer scaling factor applied to each of the selected SD basis vectors</w:t>
            </w:r>
            <w:r>
              <w:rPr>
                <w:rFonts w:eastAsia="Batang"/>
                <w:iCs/>
                <w:lang w:val="en-GB" w:eastAsia="en-US"/>
              </w:rPr>
              <w:t xml:space="preserve"> associated with RI=</w:t>
            </w:r>
            <w:r>
              <w:rPr>
                <w:rFonts w:eastAsia="Batang"/>
                <w:i/>
                <w:iCs/>
                <w:lang w:val="en-GB" w:eastAsia="en-US"/>
              </w:rPr>
              <w:t xml:space="preserve">v </w:t>
            </w:r>
            <m:oMath>
              <m:r>
                <w:rPr>
                  <w:rFonts w:ascii="Cambria Math" w:eastAsia="Batang" w:hAnsi="Cambria Math"/>
                  <w:lang w:val="en-GB" w:eastAsia="en-US"/>
                </w:rPr>
                <m:t>∈</m:t>
              </m:r>
            </m:oMath>
            <w:r>
              <w:rPr>
                <w:rFonts w:eastAsia="Batang"/>
                <w:iCs/>
                <w:lang w:val="en-GB" w:eastAsia="en-US"/>
              </w:rPr>
              <w:t>{2} for the 3-bit scaling factor(s), decide, by RAN1#119, from the following alternatives:</w:t>
            </w:r>
          </w:p>
          <w:p w:rsidR="00C42F3E" w:rsidRDefault="00040989" w:rsidP="00A22029">
            <w:pPr>
              <w:numPr>
                <w:ilvl w:val="0"/>
                <w:numId w:val="10"/>
              </w:numPr>
              <w:snapToGrid w:val="0"/>
              <w:spacing w:before="0" w:after="0"/>
              <w:rPr>
                <w:rFonts w:eastAsia="等线"/>
                <w:bCs/>
                <w:lang w:val="de-DE"/>
              </w:rPr>
            </w:pPr>
            <w:r>
              <w:rPr>
                <w:rFonts w:eastAsia="等线"/>
                <w:lang w:val="de-DE"/>
              </w:rPr>
              <w:t xml:space="preserve">Alt1: </w:t>
            </w:r>
            <m:oMath>
              <m:r>
                <m:rPr>
                  <m:sty m:val="p"/>
                </m:rPr>
                <w:rPr>
                  <w:rFonts w:ascii="Cambria Math" w:eastAsia="Batang" w:hAnsi="Cambria Math"/>
                  <w:lang w:val="de-DE"/>
                </w:rPr>
                <m:t>min</m:t>
              </m:r>
              <m:d>
                <m:dPr>
                  <m:begChr m:val="{"/>
                  <m:endChr m:val="}"/>
                  <m:ctrlPr>
                    <w:rPr>
                      <w:rFonts w:ascii="Cambria Math" w:eastAsia="Batang" w:hAnsi="Cambria Math"/>
                      <w:bCs/>
                      <w:iCs/>
                      <w:lang w:val="en-GB"/>
                    </w:rPr>
                  </m:ctrlPr>
                </m:dPr>
                <m:e>
                  <m:f>
                    <m:fPr>
                      <m:ctrlPr>
                        <w:rPr>
                          <w:rFonts w:ascii="Cambria Math" w:eastAsia="Batang" w:hAnsi="Cambria Math"/>
                          <w:bCs/>
                          <w:i/>
                          <w:lang w:val="en-GB"/>
                        </w:rPr>
                      </m:ctrlPr>
                    </m:fPr>
                    <m:num>
                      <m:r>
                        <m:rPr>
                          <m:sty m:val="p"/>
                        </m:rPr>
                        <w:rPr>
                          <w:rFonts w:ascii="Cambria Math" w:eastAsia="Batang" w:hAnsi="Cambria Math"/>
                          <w:lang w:val="de-DE"/>
                        </w:rPr>
                        <m:t>1</m:t>
                      </m:r>
                    </m:num>
                    <m:den>
                      <m:r>
                        <m:rPr>
                          <m:sty m:val="p"/>
                        </m:rPr>
                        <w:rPr>
                          <w:rFonts w:ascii="Cambria Math" w:eastAsia="Batang" w:hAnsi="Cambria Math"/>
                          <w:lang w:val="en-GB"/>
                        </w:rPr>
                        <m:t>υ</m:t>
                      </m:r>
                    </m:den>
                  </m:f>
                  <m:r>
                    <m:rPr>
                      <m:sty m:val="p"/>
                    </m:rPr>
                    <w:rPr>
                      <w:rFonts w:ascii="Cambria Math" w:eastAsia="Batang" w:hAnsi="Cambria Math"/>
                      <w:lang w:val="de-DE"/>
                    </w:rPr>
                    <m:t>,</m:t>
                  </m:r>
                  <m:f>
                    <m:fPr>
                      <m:ctrlPr>
                        <w:rPr>
                          <w:rFonts w:ascii="Cambria Math" w:eastAsia="Batang" w:hAnsi="Cambria Math"/>
                          <w:bCs/>
                          <w:iCs/>
                          <w:lang w:val="en-GB"/>
                        </w:rPr>
                      </m:ctrlPr>
                    </m:fPr>
                    <m:num>
                      <m:sSubSup>
                        <m:sSubSupPr>
                          <m:ctrlPr>
                            <w:rPr>
                              <w:rFonts w:ascii="Cambria Math" w:eastAsia="Batang" w:hAnsi="Cambria Math"/>
                              <w:bCs/>
                              <w:iCs/>
                              <w:lang w:val="en-GB"/>
                            </w:rPr>
                          </m:ctrlPr>
                        </m:sSubSupPr>
                        <m:e>
                          <m:r>
                            <m:rPr>
                              <m:sty m:val="p"/>
                            </m:rPr>
                            <w:rPr>
                              <w:rFonts w:ascii="Cambria Math" w:eastAsia="Batang" w:hAnsi="Cambria Math"/>
                              <w:lang w:val="de-DE"/>
                            </w:rPr>
                            <m:t>s</m:t>
                          </m:r>
                        </m:e>
                        <m:sub>
                          <m:r>
                            <m:rPr>
                              <m:sty m:val="p"/>
                            </m:rPr>
                            <w:rPr>
                              <w:rFonts w:ascii="Cambria Math" w:eastAsia="Batang" w:hAnsi="Cambria Math"/>
                              <w:lang w:val="de-DE"/>
                            </w:rPr>
                            <m:t>i</m:t>
                          </m:r>
                        </m:sub>
                        <m:sup>
                          <m:r>
                            <m:rPr>
                              <m:sty m:val="p"/>
                            </m:rPr>
                            <w:rPr>
                              <w:rFonts w:ascii="Cambria Math" w:eastAsia="Batang" w:hAnsi="Cambria Math"/>
                              <w:lang w:val="de-DE"/>
                            </w:rPr>
                            <m:t>2</m:t>
                          </m:r>
                        </m:sup>
                      </m:sSubSup>
                    </m:num>
                    <m:den>
                      <m:sSub>
                        <m:sSubPr>
                          <m:ctrlPr>
                            <w:rPr>
                              <w:rFonts w:ascii="Cambria Math" w:eastAsia="Batang" w:hAnsi="Cambria Math"/>
                              <w:bCs/>
                              <w:iCs/>
                              <w:lang w:val="en-GB"/>
                            </w:rPr>
                          </m:ctrlPr>
                        </m:sSubPr>
                        <m:e>
                          <m:r>
                            <m:rPr>
                              <m:sty m:val="p"/>
                            </m:rPr>
                            <w:rPr>
                              <w:rFonts w:ascii="Cambria Math" w:eastAsia="Batang" w:hAnsi="Cambria Math"/>
                              <w:lang w:val="de-DE"/>
                            </w:rPr>
                            <m:t>r</m:t>
                          </m:r>
                        </m:e>
                        <m:sub>
                          <m:r>
                            <m:rPr>
                              <m:sty m:val="p"/>
                            </m:rPr>
                            <w:rPr>
                              <w:rFonts w:ascii="Cambria Math" w:eastAsia="Batang" w:hAnsi="Cambria Math"/>
                              <w:lang w:val="de-DE"/>
                            </w:rPr>
                            <m:t>i</m:t>
                          </m:r>
                        </m:sub>
                      </m:sSub>
                    </m:den>
                  </m:f>
                </m:e>
              </m:d>
            </m:oMath>
            <w:r>
              <w:rPr>
                <w:rFonts w:eastAsia="等线"/>
                <w:bCs/>
                <w:iCs/>
                <w:lang w:val="de-DE"/>
              </w:rPr>
              <w:t xml:space="preserve"> </w:t>
            </w:r>
          </w:p>
          <w:p w:rsidR="00C42F3E" w:rsidRDefault="00040989" w:rsidP="00A22029">
            <w:pPr>
              <w:numPr>
                <w:ilvl w:val="0"/>
                <w:numId w:val="10"/>
              </w:numPr>
              <w:snapToGrid w:val="0"/>
              <w:spacing w:before="0" w:after="0"/>
              <w:rPr>
                <w:rFonts w:eastAsia="等线"/>
                <w:bCs/>
                <w:lang w:val="de-DE"/>
              </w:rPr>
            </w:pPr>
            <w:r>
              <w:rPr>
                <w:rFonts w:eastAsia="Batang"/>
                <w:bCs/>
                <w:lang w:val="de-DE"/>
              </w:rPr>
              <w:t xml:space="preserve">Alt2: </w:t>
            </w:r>
            <m:oMath>
              <m:func>
                <m:funcPr>
                  <m:ctrlPr>
                    <w:rPr>
                      <w:rFonts w:ascii="Cambria Math" w:eastAsia="Batang" w:hAnsi="Cambria Math"/>
                      <w:bCs/>
                      <w:i/>
                      <w:lang w:val="en-GB"/>
                    </w:rPr>
                  </m:ctrlPr>
                </m:funcPr>
                <m:fName>
                  <m:r>
                    <m:rPr>
                      <m:sty m:val="p"/>
                    </m:rPr>
                    <w:rPr>
                      <w:rFonts w:ascii="Cambria Math" w:eastAsia="Batang" w:hAnsi="Cambria Math"/>
                      <w:lang w:val="de-DE"/>
                    </w:rPr>
                    <m:t>min</m:t>
                  </m:r>
                </m:fName>
                <m:e>
                  <m:d>
                    <m:dPr>
                      <m:begChr m:val="{"/>
                      <m:endChr m:val="}"/>
                      <m:ctrlPr>
                        <w:rPr>
                          <w:rFonts w:ascii="Cambria Math" w:eastAsia="Batang" w:hAnsi="Cambria Math"/>
                          <w:bCs/>
                          <w:i/>
                          <w:lang w:val="en-GB"/>
                        </w:rPr>
                      </m:ctrlPr>
                    </m:dPr>
                    <m:e>
                      <m:f>
                        <m:fPr>
                          <m:ctrlPr>
                            <w:rPr>
                              <w:rFonts w:ascii="Cambria Math" w:eastAsia="Batang" w:hAnsi="Cambria Math"/>
                              <w:bCs/>
                              <w:i/>
                              <w:lang w:val="en-GB"/>
                            </w:rPr>
                          </m:ctrlPr>
                        </m:fPr>
                        <m:num>
                          <m:r>
                            <m:rPr>
                              <m:sty m:val="p"/>
                            </m:rPr>
                            <w:rPr>
                              <w:rFonts w:ascii="Cambria Math" w:eastAsia="Batang" w:hAnsi="Cambria Math"/>
                              <w:lang w:val="de-DE"/>
                            </w:rPr>
                            <m:t>1</m:t>
                          </m:r>
                        </m:num>
                        <m:den>
                          <m:r>
                            <m:rPr>
                              <m:sty m:val="p"/>
                            </m:rPr>
                            <w:rPr>
                              <w:rFonts w:ascii="Cambria Math" w:eastAsia="Batang" w:hAnsi="Cambria Math"/>
                              <w:lang w:val="en-GB"/>
                            </w:rPr>
                            <m:t>υ</m:t>
                          </m:r>
                        </m:den>
                      </m:f>
                      <m:r>
                        <m:rPr>
                          <m:sty m:val="p"/>
                        </m:rPr>
                        <w:rPr>
                          <w:rFonts w:ascii="Cambria Math" w:eastAsia="Batang" w:hAnsi="Cambria Math"/>
                          <w:lang w:val="de-DE"/>
                        </w:rPr>
                        <m:t>,</m:t>
                      </m:r>
                      <m:f>
                        <m:fPr>
                          <m:ctrlPr>
                            <w:rPr>
                              <w:rFonts w:ascii="Cambria Math" w:eastAsia="Batang" w:hAnsi="Cambria Math"/>
                              <w:bCs/>
                              <w:i/>
                              <w:lang w:val="en-GB"/>
                            </w:rPr>
                          </m:ctrlPr>
                        </m:fPr>
                        <m:num>
                          <m:sSubSup>
                            <m:sSubSupPr>
                              <m:ctrlPr>
                                <w:rPr>
                                  <w:rFonts w:ascii="Cambria Math" w:eastAsia="Batang" w:hAnsi="Cambria Math"/>
                                  <w:bCs/>
                                  <w:i/>
                                  <w:lang w:val="en-GB"/>
                                </w:rPr>
                              </m:ctrlPr>
                            </m:sSubSupPr>
                            <m:e>
                              <m:r>
                                <m:rPr>
                                  <m:sty m:val="p"/>
                                </m:rPr>
                                <w:rPr>
                                  <w:rFonts w:ascii="Cambria Math" w:eastAsia="Batang" w:hAnsi="Cambria Math"/>
                                  <w:lang w:val="de-DE"/>
                                </w:rPr>
                                <m:t>s</m:t>
                              </m:r>
                            </m:e>
                            <m:sub>
                              <m:r>
                                <m:rPr>
                                  <m:sty m:val="p"/>
                                </m:rPr>
                                <w:rPr>
                                  <w:rFonts w:ascii="Cambria Math" w:eastAsia="Batang" w:hAnsi="Cambria Math"/>
                                  <w:lang w:val="de-DE"/>
                                </w:rPr>
                                <m:t>i</m:t>
                              </m:r>
                            </m:sub>
                            <m:sup>
                              <m:r>
                                <m:rPr>
                                  <m:sty m:val="p"/>
                                </m:rPr>
                                <w:rPr>
                                  <w:rFonts w:ascii="Cambria Math" w:eastAsia="Batang" w:hAnsi="Cambria Math"/>
                                  <w:lang w:val="de-DE"/>
                                </w:rPr>
                                <m:t>2</m:t>
                              </m:r>
                            </m:sup>
                          </m:sSubSup>
                        </m:num>
                        <m:den>
                          <m:nary>
                            <m:naryPr>
                              <m:chr m:val="∑"/>
                              <m:supHide m:val="1"/>
                              <m:ctrlPr>
                                <w:rPr>
                                  <w:rFonts w:ascii="Cambria Math" w:eastAsia="Batang" w:hAnsi="Cambria Math"/>
                                  <w:bCs/>
                                  <w:i/>
                                  <w:lang w:val="en-GB"/>
                                </w:rPr>
                              </m:ctrlPr>
                            </m:naryPr>
                            <m:sub>
                              <m:r>
                                <m:rPr>
                                  <m:sty m:val="p"/>
                                </m:rPr>
                                <w:rPr>
                                  <w:rFonts w:ascii="Cambria Math" w:eastAsia="Batang" w:hAnsi="Cambria Math"/>
                                  <w:lang w:val="de-DE"/>
                                </w:rPr>
                                <m:t>k∈</m:t>
                              </m:r>
                              <m:sSub>
                                <m:sSubPr>
                                  <m:ctrlPr>
                                    <w:rPr>
                                      <w:rFonts w:ascii="Cambria Math" w:eastAsia="Batang" w:hAnsi="Cambria Math"/>
                                      <w:bCs/>
                                      <w:i/>
                                      <w:lang w:val="en-GB"/>
                                    </w:rPr>
                                  </m:ctrlPr>
                                </m:sSubPr>
                                <m:e>
                                  <m:r>
                                    <m:rPr>
                                      <m:sty m:val="p"/>
                                    </m:rPr>
                                    <w:rPr>
                                      <w:rFonts w:ascii="Cambria Math" w:eastAsia="Batang" w:hAnsi="Cambria Math"/>
                                      <w:lang w:val="de-DE"/>
                                    </w:rPr>
                                    <m:t>G</m:t>
                                  </m:r>
                                </m:e>
                                <m:sub>
                                  <m:r>
                                    <m:rPr>
                                      <m:sty m:val="p"/>
                                    </m:rPr>
                                    <w:rPr>
                                      <w:rFonts w:ascii="Cambria Math" w:eastAsia="Batang" w:hAnsi="Cambria Math"/>
                                      <w:lang w:val="de-DE"/>
                                    </w:rPr>
                                    <m:t>i</m:t>
                                  </m:r>
                                </m:sub>
                              </m:sSub>
                            </m:sub>
                            <m:sup/>
                            <m:e>
                              <m:sSub>
                                <m:sSubPr>
                                  <m:ctrlPr>
                                    <w:rPr>
                                      <w:rFonts w:ascii="Cambria Math" w:eastAsia="Batang" w:hAnsi="Cambria Math"/>
                                      <w:bCs/>
                                      <w:i/>
                                      <w:lang w:val="en-GB"/>
                                    </w:rPr>
                                  </m:ctrlPr>
                                </m:sSubPr>
                                <m:e>
                                  <m:r>
                                    <m:rPr>
                                      <m:sty m:val="p"/>
                                    </m:rPr>
                                    <w:rPr>
                                      <w:rFonts w:ascii="Cambria Math" w:eastAsia="Batang" w:hAnsi="Cambria Math"/>
                                      <w:lang w:val="de-DE"/>
                                    </w:rPr>
                                    <m:t>r</m:t>
                                  </m:r>
                                </m:e>
                                <m:sub>
                                  <m:r>
                                    <m:rPr>
                                      <m:sty m:val="p"/>
                                    </m:rPr>
                                    <w:rPr>
                                      <w:rFonts w:ascii="Cambria Math" w:eastAsia="Batang" w:hAnsi="Cambria Math"/>
                                      <w:lang w:val="de-DE"/>
                                    </w:rPr>
                                    <m:t>k</m:t>
                                  </m:r>
                                </m:sub>
                              </m:sSub>
                            </m:e>
                          </m:nary>
                        </m:den>
                      </m:f>
                    </m:e>
                  </m:d>
                </m:e>
              </m:func>
            </m:oMath>
            <w:r>
              <w:rPr>
                <w:rFonts w:eastAsia="Batang"/>
                <w:bCs/>
                <w:lang w:val="de-DE"/>
              </w:rPr>
              <w:t xml:space="preserve"> </w:t>
            </w:r>
          </w:p>
          <w:p w:rsidR="00C42F3E" w:rsidRDefault="00040989" w:rsidP="00A22029">
            <w:pPr>
              <w:numPr>
                <w:ilvl w:val="0"/>
                <w:numId w:val="10"/>
              </w:numPr>
              <w:snapToGrid w:val="0"/>
              <w:spacing w:before="0" w:after="0"/>
              <w:rPr>
                <w:rFonts w:eastAsia="Batang"/>
                <w:bCs/>
                <w:lang w:val="en-GB"/>
              </w:rPr>
            </w:pPr>
            <w:r>
              <w:rPr>
                <w:rFonts w:eastAsia="Batang"/>
                <w:bCs/>
                <w:lang w:val="en-GB"/>
              </w:rPr>
              <w:t xml:space="preserve">Alt3: </w:t>
            </w:r>
            <m:oMath>
              <m:sSubSup>
                <m:sSubSupPr>
                  <m:ctrlPr>
                    <w:rPr>
                      <w:rFonts w:ascii="Cambria Math" w:eastAsia="Batang" w:hAnsi="Cambria Math"/>
                      <w:bCs/>
                      <w:i/>
                      <w:lang w:val="en-GB"/>
                    </w:rPr>
                  </m:ctrlPr>
                </m:sSubSupPr>
                <m:e>
                  <m:r>
                    <m:rPr>
                      <m:sty m:val="p"/>
                    </m:rPr>
                    <w:rPr>
                      <w:rFonts w:ascii="Cambria Math" w:eastAsia="Batang" w:hAnsi="Cambria Math"/>
                      <w:lang w:val="en-GB"/>
                    </w:rPr>
                    <m:t>s</m:t>
                  </m:r>
                </m:e>
                <m:sub>
                  <m:r>
                    <m:rPr>
                      <m:sty m:val="p"/>
                    </m:rPr>
                    <w:rPr>
                      <w:rFonts w:ascii="Cambria Math" w:eastAsia="Batang" w:hAnsi="Cambria Math"/>
                      <w:lang w:val="en-GB"/>
                    </w:rPr>
                    <m:t>i</m:t>
                  </m:r>
                </m:sub>
                <m:sup>
                  <m:r>
                    <m:rPr>
                      <m:sty m:val="p"/>
                    </m:rPr>
                    <w:rPr>
                      <w:rFonts w:ascii="Cambria Math" w:eastAsia="Batang" w:hAnsi="Cambria Math"/>
                      <w:lang w:val="en-GB"/>
                    </w:rPr>
                    <m:t>2</m:t>
                  </m:r>
                </m:sup>
              </m:sSubSup>
            </m:oMath>
          </w:p>
          <w:p w:rsidR="00C42F3E" w:rsidRDefault="00040989" w:rsidP="00A22029">
            <w:pPr>
              <w:numPr>
                <w:ilvl w:val="0"/>
                <w:numId w:val="10"/>
              </w:numPr>
              <w:snapToGrid w:val="0"/>
              <w:spacing w:before="0" w:after="0"/>
              <w:rPr>
                <w:rFonts w:eastAsia="Batang"/>
                <w:bCs/>
                <w:lang w:val="en-GB"/>
              </w:rPr>
            </w:pPr>
            <w:r>
              <w:rPr>
                <w:rFonts w:eastAsia="等线"/>
                <w:lang w:val="en-GB"/>
              </w:rPr>
              <w:t xml:space="preserve">Alt4: </w:t>
            </w:r>
            <m:oMath>
              <m:f>
                <m:fPr>
                  <m:ctrlPr>
                    <w:rPr>
                      <w:rFonts w:ascii="Cambria Math" w:eastAsia="Batang" w:hAnsi="Cambria Math"/>
                      <w:bCs/>
                      <w:iCs/>
                      <w:lang w:val="en-GB"/>
                    </w:rPr>
                  </m:ctrlPr>
                </m:fPr>
                <m:num>
                  <m:sSubSup>
                    <m:sSubSupPr>
                      <m:ctrlPr>
                        <w:rPr>
                          <w:rFonts w:ascii="Cambria Math" w:eastAsia="Batang" w:hAnsi="Cambria Math"/>
                          <w:bCs/>
                          <w:iCs/>
                          <w:lang w:val="en-GB"/>
                        </w:rPr>
                      </m:ctrlPr>
                    </m:sSubSupPr>
                    <m:e>
                      <m:r>
                        <m:rPr>
                          <m:sty m:val="p"/>
                        </m:rPr>
                        <w:rPr>
                          <w:rFonts w:ascii="Cambria Math" w:eastAsia="Batang" w:hAnsi="Cambria Math"/>
                          <w:lang w:val="en-GB"/>
                        </w:rPr>
                        <m:t>υs</m:t>
                      </m:r>
                    </m:e>
                    <m:sub>
                      <m:r>
                        <m:rPr>
                          <m:sty m:val="p"/>
                        </m:rPr>
                        <w:rPr>
                          <w:rFonts w:ascii="Cambria Math" w:eastAsia="Batang" w:hAnsi="Cambria Math"/>
                          <w:lang w:val="en-GB"/>
                        </w:rPr>
                        <m:t>i</m:t>
                      </m:r>
                    </m:sub>
                    <m:sup>
                      <m:r>
                        <m:rPr>
                          <m:sty m:val="p"/>
                        </m:rPr>
                        <w:rPr>
                          <w:rFonts w:ascii="Cambria Math" w:eastAsia="Batang" w:hAnsi="Cambria Math"/>
                          <w:lang w:val="en-GB"/>
                        </w:rPr>
                        <m:t>2</m:t>
                      </m:r>
                    </m:sup>
                  </m:sSubSup>
                </m:num>
                <m:den>
                  <m:sSub>
                    <m:sSubPr>
                      <m:ctrlPr>
                        <w:rPr>
                          <w:rFonts w:ascii="Cambria Math" w:eastAsia="Batang" w:hAnsi="Cambria Math"/>
                          <w:bCs/>
                          <w:iCs/>
                          <w:lang w:val="en-GB"/>
                        </w:rPr>
                      </m:ctrlPr>
                    </m:sSubPr>
                    <m:e>
                      <m:r>
                        <m:rPr>
                          <m:sty m:val="p"/>
                        </m:rPr>
                        <w:rPr>
                          <w:rFonts w:ascii="Cambria Math" w:eastAsia="Batang" w:hAnsi="Cambria Math"/>
                          <w:lang w:val="en-GB"/>
                        </w:rPr>
                        <m:t>r</m:t>
                      </m:r>
                    </m:e>
                    <m:sub>
                      <m:r>
                        <m:rPr>
                          <m:sty m:val="p"/>
                        </m:rPr>
                        <w:rPr>
                          <w:rFonts w:ascii="Cambria Math" w:eastAsia="Batang" w:hAnsi="Cambria Math"/>
                          <w:lang w:val="en-GB"/>
                        </w:rPr>
                        <m:t>i</m:t>
                      </m:r>
                    </m:sub>
                  </m:sSub>
                </m:den>
              </m:f>
            </m:oMath>
            <w:r>
              <w:rPr>
                <w:rFonts w:eastAsia="等线"/>
                <w:bCs/>
                <w:iCs/>
                <w:lang w:val="en-GB"/>
              </w:rPr>
              <w:t xml:space="preserve">  </w:t>
            </w:r>
          </w:p>
          <w:p w:rsidR="00C42F3E" w:rsidRDefault="00040989" w:rsidP="00A22029">
            <w:pPr>
              <w:numPr>
                <w:ilvl w:val="0"/>
                <w:numId w:val="10"/>
              </w:numPr>
              <w:snapToGrid w:val="0"/>
              <w:spacing w:before="0" w:after="0"/>
              <w:rPr>
                <w:rFonts w:eastAsia="Batang"/>
                <w:bCs/>
                <w:lang w:val="de-DE"/>
              </w:rPr>
            </w:pPr>
            <w:r>
              <w:rPr>
                <w:rFonts w:eastAsia="等线"/>
                <w:bCs/>
                <w:lang w:val="de-DE"/>
              </w:rPr>
              <w:t xml:space="preserve">Alt5: </w:t>
            </w:r>
            <m:oMath>
              <m:r>
                <m:rPr>
                  <m:sty m:val="p"/>
                </m:rPr>
                <w:rPr>
                  <w:rFonts w:ascii="Cambria Math" w:eastAsia="Batang" w:hAnsi="Cambria Math"/>
                  <w:lang w:val="de-DE"/>
                </w:rPr>
                <m:t>min</m:t>
              </m:r>
              <m:d>
                <m:dPr>
                  <m:begChr m:val="{"/>
                  <m:endChr m:val="}"/>
                  <m:ctrlPr>
                    <w:rPr>
                      <w:rFonts w:ascii="Cambria Math" w:eastAsia="Batang" w:hAnsi="Cambria Math"/>
                      <w:bCs/>
                      <w:iCs/>
                      <w:lang w:val="en-GB"/>
                    </w:rPr>
                  </m:ctrlPr>
                </m:dPr>
                <m:e>
                  <m:f>
                    <m:fPr>
                      <m:ctrlPr>
                        <w:rPr>
                          <w:rFonts w:ascii="Cambria Math" w:eastAsia="Batang" w:hAnsi="Cambria Math"/>
                          <w:bCs/>
                          <w:i/>
                          <w:lang w:val="en-GB"/>
                        </w:rPr>
                      </m:ctrlPr>
                    </m:fPr>
                    <m:num>
                      <m:sSub>
                        <m:sSubPr>
                          <m:ctrlPr>
                            <w:rPr>
                              <w:rFonts w:ascii="Cambria Math" w:eastAsia="Batang" w:hAnsi="Cambria Math"/>
                              <w:bCs/>
                              <w:iCs/>
                              <w:lang w:val="en-GB"/>
                            </w:rPr>
                          </m:ctrlPr>
                        </m:sSubPr>
                        <m:e>
                          <m:r>
                            <m:rPr>
                              <m:sty m:val="p"/>
                            </m:rPr>
                            <w:rPr>
                              <w:rFonts w:ascii="Cambria Math" w:eastAsia="Batang" w:hAnsi="Cambria Math"/>
                              <w:lang w:val="de-DE"/>
                            </w:rPr>
                            <m:t>r</m:t>
                          </m:r>
                        </m:e>
                        <m:sub>
                          <m:r>
                            <m:rPr>
                              <m:sty m:val="p"/>
                            </m:rPr>
                            <w:rPr>
                              <w:rFonts w:ascii="Cambria Math" w:eastAsia="Batang" w:hAnsi="Cambria Math"/>
                              <w:lang w:val="de-DE"/>
                            </w:rPr>
                            <m:t>i</m:t>
                          </m:r>
                        </m:sub>
                      </m:sSub>
                    </m:num>
                    <m:den>
                      <m:r>
                        <m:rPr>
                          <m:sty m:val="p"/>
                        </m:rPr>
                        <w:rPr>
                          <w:rFonts w:ascii="Cambria Math" w:eastAsia="Batang" w:hAnsi="Cambria Math"/>
                          <w:lang w:val="en-GB"/>
                        </w:rPr>
                        <m:t>υ</m:t>
                      </m:r>
                    </m:den>
                  </m:f>
                  <m:r>
                    <m:rPr>
                      <m:sty m:val="p"/>
                    </m:rPr>
                    <w:rPr>
                      <w:rFonts w:ascii="Cambria Math" w:eastAsia="Batang" w:hAnsi="Cambria Math"/>
                      <w:lang w:val="de-DE"/>
                    </w:rPr>
                    <m:t>,</m:t>
                  </m:r>
                  <m:sSubSup>
                    <m:sSubSupPr>
                      <m:ctrlPr>
                        <w:rPr>
                          <w:rFonts w:ascii="Cambria Math" w:eastAsia="Batang" w:hAnsi="Cambria Math"/>
                          <w:bCs/>
                          <w:iCs/>
                          <w:lang w:val="en-GB"/>
                        </w:rPr>
                      </m:ctrlPr>
                    </m:sSubSupPr>
                    <m:e>
                      <m:r>
                        <m:rPr>
                          <m:sty m:val="p"/>
                        </m:rPr>
                        <w:rPr>
                          <w:rFonts w:ascii="Cambria Math" w:eastAsia="Batang" w:hAnsi="Cambria Math"/>
                          <w:lang w:val="de-DE"/>
                        </w:rPr>
                        <m:t>s</m:t>
                      </m:r>
                    </m:e>
                    <m:sub>
                      <m:r>
                        <m:rPr>
                          <m:sty m:val="p"/>
                        </m:rPr>
                        <w:rPr>
                          <w:rFonts w:ascii="Cambria Math" w:eastAsia="Batang" w:hAnsi="Cambria Math"/>
                          <w:lang w:val="de-DE"/>
                        </w:rPr>
                        <m:t>i</m:t>
                      </m:r>
                    </m:sub>
                    <m:sup>
                      <m:r>
                        <m:rPr>
                          <m:sty m:val="p"/>
                        </m:rPr>
                        <w:rPr>
                          <w:rFonts w:ascii="Cambria Math" w:eastAsia="Batang" w:hAnsi="Cambria Math"/>
                          <w:lang w:val="de-DE"/>
                        </w:rPr>
                        <m:t>2</m:t>
                      </m:r>
                    </m:sup>
                  </m:sSubSup>
                </m:e>
              </m:d>
            </m:oMath>
          </w:p>
          <w:p w:rsidR="00C42F3E" w:rsidRDefault="00040989" w:rsidP="00A22029">
            <w:pPr>
              <w:numPr>
                <w:ilvl w:val="0"/>
                <w:numId w:val="10"/>
              </w:numPr>
              <w:snapToGrid w:val="0"/>
              <w:spacing w:before="0" w:after="0"/>
              <w:rPr>
                <w:rFonts w:eastAsia="Batang"/>
                <w:bCs/>
                <w:lang w:val="en-GB"/>
              </w:rPr>
            </w:pPr>
            <w:r>
              <w:rPr>
                <w:rFonts w:eastAsia="等线"/>
                <w:bCs/>
                <w:lang w:val="en-GB"/>
              </w:rPr>
              <w:t xml:space="preserve">Alt6: </w:t>
            </w:r>
            <m:oMath>
              <m:f>
                <m:fPr>
                  <m:ctrlPr>
                    <w:rPr>
                      <w:rFonts w:ascii="Cambria Math" w:eastAsia="Times New Roman" w:hAnsi="Cambria Math"/>
                      <w:bCs/>
                      <w:i/>
                      <w:lang w:val="en-GB"/>
                    </w:rPr>
                  </m:ctrlPr>
                </m:fPr>
                <m:num>
                  <m:sSubSup>
                    <m:sSubSupPr>
                      <m:ctrlPr>
                        <w:rPr>
                          <w:rFonts w:ascii="Cambria Math" w:eastAsia="Batang" w:hAnsi="Cambria Math"/>
                          <w:bCs/>
                          <w:i/>
                          <w:lang w:val="en-GB"/>
                        </w:rPr>
                      </m:ctrlPr>
                    </m:sSubSupPr>
                    <m:e>
                      <m:r>
                        <m:rPr>
                          <m:sty m:val="p"/>
                        </m:rPr>
                        <w:rPr>
                          <w:rFonts w:ascii="Cambria Math" w:eastAsia="Batang" w:hAnsi="Cambria Math"/>
                          <w:lang w:val="en-GB"/>
                        </w:rPr>
                        <m:t>s</m:t>
                      </m:r>
                    </m:e>
                    <m:sub>
                      <m:r>
                        <m:rPr>
                          <m:sty m:val="p"/>
                        </m:rPr>
                        <w:rPr>
                          <w:rFonts w:ascii="Cambria Math" w:eastAsia="Batang" w:hAnsi="Cambria Math"/>
                          <w:lang w:val="en-GB"/>
                        </w:rPr>
                        <m:t>i</m:t>
                      </m:r>
                    </m:sub>
                    <m:sup>
                      <m:r>
                        <m:rPr>
                          <m:sty m:val="p"/>
                        </m:rPr>
                        <w:rPr>
                          <w:rFonts w:ascii="Cambria Math" w:eastAsia="Batang" w:hAnsi="Cambria Math"/>
                          <w:lang w:val="en-GB"/>
                        </w:rPr>
                        <m:t>2</m:t>
                      </m:r>
                    </m:sup>
                  </m:sSubSup>
                </m:num>
                <m:den>
                  <m:r>
                    <m:rPr>
                      <m:sty m:val="p"/>
                    </m:rPr>
                    <w:rPr>
                      <w:rFonts w:ascii="Cambria Math" w:eastAsia="Batang" w:hAnsi="Cambria Math"/>
                      <w:lang w:val="en-GB"/>
                    </w:rPr>
                    <m:t>υ</m:t>
                  </m:r>
                </m:den>
              </m:f>
            </m:oMath>
          </w:p>
          <w:p w:rsidR="00C42F3E" w:rsidRDefault="00040989" w:rsidP="00A22029">
            <w:pPr>
              <w:numPr>
                <w:ilvl w:val="0"/>
                <w:numId w:val="10"/>
              </w:numPr>
              <w:snapToGrid w:val="0"/>
              <w:spacing w:before="0" w:after="0"/>
              <w:rPr>
                <w:rFonts w:eastAsia="Batang"/>
                <w:bCs/>
                <w:lang w:val="en-GB"/>
              </w:rPr>
            </w:pPr>
            <w:r>
              <w:rPr>
                <w:rFonts w:eastAsia="等线"/>
                <w:bCs/>
                <w:lang w:val="en-GB"/>
              </w:rPr>
              <w:t xml:space="preserve">Alt7: </w:t>
            </w:r>
          </w:p>
          <w:p w:rsidR="00C42F3E" w:rsidRDefault="00040989" w:rsidP="00A22029">
            <w:pPr>
              <w:numPr>
                <w:ilvl w:val="1"/>
                <w:numId w:val="10"/>
              </w:numPr>
              <w:snapToGrid w:val="0"/>
              <w:spacing w:before="0" w:after="0"/>
              <w:rPr>
                <w:rFonts w:eastAsia="Batang"/>
                <w:bCs/>
                <w:lang w:val="en-GB"/>
              </w:rPr>
            </w:pPr>
            <w:r>
              <w:rPr>
                <w:rFonts w:eastAsia="等线"/>
                <w:bCs/>
                <w:lang w:val="en-GB"/>
              </w:rPr>
              <w:t>if two different vectors for</w:t>
            </w:r>
            <w:r>
              <w:rPr>
                <w:rFonts w:eastAsia="Batang"/>
                <w:lang w:val="en-GB"/>
              </w:rPr>
              <w:t xml:space="preserve"> </w:t>
            </w:r>
            <m:oMath>
              <m:r>
                <m:rPr>
                  <m:sty m:val="p"/>
                </m:rPr>
                <w:rPr>
                  <w:rFonts w:ascii="Cambria Math" w:eastAsia="Batang" w:hAnsi="Cambria Math"/>
                  <w:lang w:val="en-GB"/>
                </w:rPr>
                <m:t>υ=2</m:t>
              </m:r>
            </m:oMath>
            <w:r>
              <w:rPr>
                <w:rFonts w:eastAsia="Batang"/>
                <w:lang w:val="en-GB"/>
              </w:rPr>
              <w:t>,</w:t>
            </w:r>
            <w:r>
              <w:rPr>
                <w:rFonts w:eastAsia="等线"/>
                <w:bCs/>
                <w:lang w:val="en-GB"/>
              </w:rPr>
              <w:t xml:space="preserve"> </w:t>
            </w:r>
            <m:oMath>
              <m:r>
                <m:rPr>
                  <m:sty m:val="p"/>
                </m:rPr>
                <w:rPr>
                  <w:rFonts w:ascii="Cambria Math" w:eastAsia="Batang" w:hAnsi="Cambria Math"/>
                  <w:lang w:val="en-GB"/>
                </w:rPr>
                <m:t>min</m:t>
              </m:r>
              <m:d>
                <m:dPr>
                  <m:begChr m:val="{"/>
                  <m:endChr m:val="}"/>
                  <m:ctrlPr>
                    <w:rPr>
                      <w:rFonts w:ascii="Cambria Math" w:eastAsia="Batang" w:hAnsi="Cambria Math"/>
                      <w:bCs/>
                      <w:iCs/>
                      <w:lang w:val="en-GB"/>
                    </w:rPr>
                  </m:ctrlPr>
                </m:dPr>
                <m:e>
                  <m:f>
                    <m:fPr>
                      <m:ctrlPr>
                        <w:rPr>
                          <w:rFonts w:ascii="Cambria Math" w:eastAsia="Batang" w:hAnsi="Cambria Math"/>
                          <w:bCs/>
                          <w:i/>
                          <w:lang w:val="en-GB"/>
                        </w:rPr>
                      </m:ctrlPr>
                    </m:fPr>
                    <m:num>
                      <m:r>
                        <w:rPr>
                          <w:rFonts w:ascii="Cambria Math" w:eastAsia="Batang" w:hAnsi="Cambria Math"/>
                          <w:lang w:val="en-GB"/>
                        </w:rPr>
                        <m:t>1</m:t>
                      </m:r>
                    </m:num>
                    <m:den>
                      <m:r>
                        <m:rPr>
                          <m:sty m:val="p"/>
                        </m:rPr>
                        <w:rPr>
                          <w:rFonts w:ascii="Cambria Math" w:eastAsia="Batang" w:hAnsi="Cambria Math"/>
                          <w:lang w:val="en-GB"/>
                        </w:rPr>
                        <m:t>υ</m:t>
                      </m:r>
                    </m:den>
                  </m:f>
                  <m:r>
                    <m:rPr>
                      <m:sty m:val="p"/>
                    </m:rPr>
                    <w:rPr>
                      <w:rFonts w:ascii="Cambria Math" w:eastAsia="Batang" w:hAnsi="Cambria Math"/>
                      <w:lang w:val="en-GB"/>
                    </w:rPr>
                    <m:t>,</m:t>
                  </m:r>
                  <m:sSubSup>
                    <m:sSubSupPr>
                      <m:ctrlPr>
                        <w:rPr>
                          <w:rFonts w:ascii="Cambria Math" w:eastAsia="Batang" w:hAnsi="Cambria Math"/>
                          <w:bCs/>
                          <w:iCs/>
                          <w:lang w:val="en-GB"/>
                        </w:rPr>
                      </m:ctrlPr>
                    </m:sSubSupPr>
                    <m:e>
                      <m:r>
                        <m:rPr>
                          <m:sty m:val="p"/>
                        </m:rPr>
                        <w:rPr>
                          <w:rFonts w:ascii="Cambria Math" w:eastAsia="Batang" w:hAnsi="Cambria Math"/>
                          <w:lang w:val="en-GB"/>
                        </w:rPr>
                        <m:t>s</m:t>
                      </m:r>
                    </m:e>
                    <m:sub>
                      <m:r>
                        <m:rPr>
                          <m:sty m:val="p"/>
                        </m:rPr>
                        <w:rPr>
                          <w:rFonts w:ascii="Cambria Math" w:eastAsia="Batang" w:hAnsi="Cambria Math"/>
                          <w:lang w:val="en-GB"/>
                        </w:rPr>
                        <m:t>i</m:t>
                      </m:r>
                    </m:sub>
                    <m:sup>
                      <m:r>
                        <m:rPr>
                          <m:sty m:val="p"/>
                        </m:rPr>
                        <w:rPr>
                          <w:rFonts w:ascii="Cambria Math" w:eastAsia="Batang" w:hAnsi="Cambria Math"/>
                          <w:lang w:val="en-GB"/>
                        </w:rPr>
                        <m:t>2</m:t>
                      </m:r>
                    </m:sup>
                  </m:sSubSup>
                </m:e>
              </m:d>
            </m:oMath>
            <w:r>
              <w:rPr>
                <w:rFonts w:eastAsia="等线"/>
                <w:bCs/>
                <w:iCs/>
                <w:lang w:val="en-GB"/>
              </w:rPr>
              <w:t xml:space="preserve"> for the vector with smaller scaling factor </w:t>
            </w:r>
            <m:oMath>
              <m:sSub>
                <m:sSubPr>
                  <m:ctrlPr>
                    <w:rPr>
                      <w:rFonts w:ascii="Cambria Math" w:eastAsia="Times New Roman" w:hAnsi="Cambria Math"/>
                      <w:bCs/>
                      <w:iCs/>
                      <w:lang w:val="en-GB"/>
                    </w:rPr>
                  </m:ctrlPr>
                </m:sSubPr>
                <m:e>
                  <m:r>
                    <m:rPr>
                      <m:sty m:val="p"/>
                    </m:rPr>
                    <w:rPr>
                      <w:rFonts w:ascii="Cambria Math" w:eastAsia="Batang" w:hAnsi="Cambria Math"/>
                      <w:lang w:val="en-GB"/>
                    </w:rPr>
                    <m:t>s</m:t>
                  </m:r>
                </m:e>
                <m:sub>
                  <m:r>
                    <m:rPr>
                      <m:sty m:val="p"/>
                    </m:rPr>
                    <w:rPr>
                      <w:rFonts w:ascii="Cambria Math" w:eastAsia="Malgun Gothic" w:hAnsi="Cambria Math"/>
                      <w:lang w:val="en-GB"/>
                    </w:rPr>
                    <m:t>i</m:t>
                  </m:r>
                </m:sub>
              </m:sSub>
              <m:r>
                <m:rPr>
                  <m:sty m:val="p"/>
                </m:rPr>
                <w:rPr>
                  <w:rFonts w:ascii="Cambria Math" w:eastAsia="Batang" w:hAnsi="Cambria Math"/>
                  <w:lang w:val="en-GB"/>
                </w:rPr>
                <m:t>≤</m:t>
              </m:r>
              <m:sSub>
                <m:sSubPr>
                  <m:ctrlPr>
                    <w:rPr>
                      <w:rFonts w:ascii="Cambria Math" w:eastAsia="Times New Roman" w:hAnsi="Cambria Math"/>
                      <w:bCs/>
                      <w:iCs/>
                      <w:lang w:val="en-GB"/>
                    </w:rPr>
                  </m:ctrlPr>
                </m:sSubPr>
                <m:e>
                  <m:r>
                    <m:rPr>
                      <m:sty m:val="p"/>
                    </m:rPr>
                    <w:rPr>
                      <w:rFonts w:ascii="Cambria Math" w:eastAsia="Batang" w:hAnsi="Cambria Math"/>
                      <w:lang w:val="en-GB"/>
                    </w:rPr>
                    <m:t>s</m:t>
                  </m:r>
                </m:e>
                <m:sub>
                  <m:r>
                    <m:rPr>
                      <m:sty m:val="p"/>
                    </m:rPr>
                    <w:rPr>
                      <w:rFonts w:ascii="Cambria Math" w:eastAsia="Batang" w:hAnsi="Cambria Math"/>
                      <w:lang w:val="en-GB"/>
                    </w:rPr>
                    <m:t>j</m:t>
                  </m:r>
                </m:sub>
              </m:sSub>
            </m:oMath>
            <w:r>
              <w:rPr>
                <w:rFonts w:eastAsia="等线"/>
                <w:bCs/>
                <w:iCs/>
                <w:lang w:val="en-GB"/>
              </w:rPr>
              <w:t>,</w:t>
            </w:r>
            <w:r>
              <w:rPr>
                <w:rFonts w:eastAsia="等线"/>
                <w:bCs/>
                <w:lang w:val="en-GB"/>
              </w:rPr>
              <w:t xml:space="preserve"> and </w:t>
            </w:r>
            <m:oMath>
              <m:r>
                <m:rPr>
                  <m:sty m:val="p"/>
                </m:rPr>
                <w:rPr>
                  <w:rFonts w:ascii="Cambria Math" w:eastAsia="等线" w:hAnsi="Cambria Math"/>
                  <w:lang w:val="en-GB"/>
                </w:rPr>
                <m:t>min⁡</m:t>
              </m:r>
              <m:r>
                <w:rPr>
                  <w:rFonts w:ascii="Cambria Math" w:eastAsia="等线" w:hAnsi="Cambria Math"/>
                  <w:lang w:val="en-GB"/>
                </w:rPr>
                <m:t>(1-</m:t>
              </m:r>
              <m:r>
                <m:rPr>
                  <m:sty m:val="p"/>
                </m:rPr>
                <w:rPr>
                  <w:rFonts w:ascii="Cambria Math" w:eastAsia="等线" w:hAnsi="Cambria Math"/>
                  <w:lang w:val="en-GB"/>
                </w:rPr>
                <m:t>min⁡</m:t>
              </m:r>
              <m:r>
                <w:rPr>
                  <w:rFonts w:ascii="Cambria Math" w:eastAsia="等线" w:hAnsi="Cambria Math"/>
                  <w:lang w:val="en-GB"/>
                </w:rPr>
                <m:t>(</m:t>
              </m:r>
              <m:f>
                <m:fPr>
                  <m:ctrlPr>
                    <w:rPr>
                      <w:rFonts w:ascii="Cambria Math" w:eastAsia="等线" w:hAnsi="Cambria Math"/>
                      <w:bCs/>
                      <w:i/>
                      <w:lang w:val="en-GB"/>
                    </w:rPr>
                  </m:ctrlPr>
                </m:fPr>
                <m:num>
                  <m:r>
                    <w:rPr>
                      <w:rFonts w:ascii="Cambria Math" w:eastAsia="等线" w:hAnsi="Cambria Math"/>
                      <w:lang w:val="en-GB"/>
                    </w:rPr>
                    <m:t>1</m:t>
                  </m:r>
                </m:num>
                <m:den>
                  <m:r>
                    <m:rPr>
                      <m:sty m:val="p"/>
                    </m:rPr>
                    <w:rPr>
                      <w:rFonts w:ascii="Cambria Math" w:eastAsia="Batang" w:hAnsi="Cambria Math"/>
                      <w:lang w:val="en-GB"/>
                    </w:rPr>
                    <m:t>υ</m:t>
                  </m:r>
                </m:den>
              </m:f>
              <m:r>
                <w:rPr>
                  <w:rFonts w:ascii="Cambria Math" w:eastAsia="等线" w:hAnsi="Cambria Math"/>
                  <w:lang w:val="en-GB"/>
                </w:rPr>
                <m:t>,</m:t>
              </m:r>
              <m:sSubSup>
                <m:sSubSupPr>
                  <m:ctrlPr>
                    <w:rPr>
                      <w:rFonts w:ascii="Cambria Math" w:eastAsia="Batang" w:hAnsi="Cambria Math"/>
                      <w:bCs/>
                      <w:i/>
                      <w:lang w:val="en-GB"/>
                    </w:rPr>
                  </m:ctrlPr>
                </m:sSubSupPr>
                <m:e>
                  <m:r>
                    <m:rPr>
                      <m:sty m:val="p"/>
                    </m:rPr>
                    <w:rPr>
                      <w:rFonts w:ascii="Cambria Math" w:eastAsia="Batang" w:hAnsi="Cambria Math"/>
                      <w:lang w:val="en-GB"/>
                    </w:rPr>
                    <m:t>s</m:t>
                  </m:r>
                </m:e>
                <m:sub>
                  <m:r>
                    <m:rPr>
                      <m:sty m:val="p"/>
                    </m:rPr>
                    <w:rPr>
                      <w:rFonts w:ascii="Cambria Math" w:eastAsia="Batang" w:hAnsi="Cambria Math"/>
                      <w:lang w:val="en-GB"/>
                    </w:rPr>
                    <m:t>i</m:t>
                  </m:r>
                </m:sub>
                <m:sup>
                  <m:r>
                    <m:rPr>
                      <m:sty m:val="p"/>
                    </m:rPr>
                    <w:rPr>
                      <w:rFonts w:ascii="Cambria Math" w:eastAsia="Batang" w:hAnsi="Cambria Math"/>
                      <w:lang w:val="en-GB"/>
                    </w:rPr>
                    <m:t>2</m:t>
                  </m:r>
                </m:sup>
              </m:sSubSup>
              <m:r>
                <w:rPr>
                  <w:rFonts w:ascii="Cambria Math" w:eastAsia="Batang" w:hAnsi="Cambria Math"/>
                  <w:lang w:val="en-GB"/>
                </w:rPr>
                <m:t>)</m:t>
              </m:r>
              <m:r>
                <w:rPr>
                  <w:rFonts w:ascii="Cambria Math" w:eastAsia="等线" w:hAnsi="Cambria Math"/>
                  <w:lang w:val="en-GB"/>
                </w:rPr>
                <m:t>,</m:t>
              </m:r>
              <m:sSubSup>
                <m:sSubSupPr>
                  <m:ctrlPr>
                    <w:rPr>
                      <w:rFonts w:ascii="Cambria Math" w:eastAsia="Batang" w:hAnsi="Cambria Math"/>
                      <w:bCs/>
                      <w:i/>
                      <w:lang w:val="en-GB"/>
                    </w:rPr>
                  </m:ctrlPr>
                </m:sSubSupPr>
                <m:e>
                  <m:r>
                    <m:rPr>
                      <m:sty m:val="p"/>
                    </m:rPr>
                    <w:rPr>
                      <w:rFonts w:ascii="Cambria Math" w:eastAsia="Batang" w:hAnsi="Cambria Math"/>
                      <w:lang w:val="en-GB"/>
                    </w:rPr>
                    <m:t>s</m:t>
                  </m:r>
                </m:e>
                <m:sub>
                  <m:r>
                    <m:rPr>
                      <m:sty m:val="p"/>
                    </m:rPr>
                    <w:rPr>
                      <w:rFonts w:ascii="Cambria Math" w:eastAsia="Batang" w:hAnsi="Cambria Math"/>
                      <w:lang w:val="en-GB"/>
                    </w:rPr>
                    <m:t>j</m:t>
                  </m:r>
                </m:sub>
                <m:sup>
                  <m:r>
                    <m:rPr>
                      <m:sty m:val="p"/>
                    </m:rPr>
                    <w:rPr>
                      <w:rFonts w:ascii="Cambria Math" w:eastAsia="Batang" w:hAnsi="Cambria Math"/>
                      <w:lang w:val="en-GB"/>
                    </w:rPr>
                    <m:t>2</m:t>
                  </m:r>
                </m:sup>
              </m:sSubSup>
              <m:r>
                <w:rPr>
                  <w:rFonts w:ascii="Cambria Math" w:eastAsia="等线" w:hAnsi="Cambria Math"/>
                  <w:lang w:val="en-GB"/>
                </w:rPr>
                <m:t>)</m:t>
              </m:r>
            </m:oMath>
            <w:r>
              <w:rPr>
                <w:rFonts w:eastAsia="等线"/>
                <w:bCs/>
                <w:lang w:val="en-GB"/>
              </w:rPr>
              <w:t xml:space="preserve"> for the other vector configured with larger scaling factor </w:t>
            </w:r>
            <m:oMath>
              <m:sSub>
                <m:sSubPr>
                  <m:ctrlPr>
                    <w:rPr>
                      <w:rFonts w:ascii="Cambria Math" w:eastAsia="Times New Roman" w:hAnsi="Cambria Math"/>
                      <w:bCs/>
                      <w:iCs/>
                      <w:lang w:val="en-GB"/>
                    </w:rPr>
                  </m:ctrlPr>
                </m:sSubPr>
                <m:e>
                  <m:r>
                    <m:rPr>
                      <m:sty m:val="p"/>
                    </m:rPr>
                    <w:rPr>
                      <w:rFonts w:ascii="Cambria Math" w:eastAsia="Batang" w:hAnsi="Cambria Math"/>
                      <w:lang w:val="en-GB"/>
                    </w:rPr>
                    <m:t>s</m:t>
                  </m:r>
                </m:e>
                <m:sub>
                  <m:r>
                    <m:rPr>
                      <m:sty m:val="p"/>
                    </m:rPr>
                    <w:rPr>
                      <w:rFonts w:ascii="Cambria Math" w:eastAsia="Batang" w:hAnsi="Cambria Math"/>
                      <w:lang w:val="en-GB"/>
                    </w:rPr>
                    <m:t>j</m:t>
                  </m:r>
                </m:sub>
              </m:sSub>
            </m:oMath>
            <w:r>
              <w:rPr>
                <w:rFonts w:eastAsia="等线"/>
                <w:bCs/>
                <w:lang w:val="en-GB"/>
              </w:rPr>
              <w:t xml:space="preserve">; </w:t>
            </w:r>
          </w:p>
          <w:p w:rsidR="00C42F3E" w:rsidRDefault="00040989" w:rsidP="00A22029">
            <w:pPr>
              <w:numPr>
                <w:ilvl w:val="1"/>
                <w:numId w:val="10"/>
              </w:numPr>
              <w:snapToGrid w:val="0"/>
              <w:spacing w:before="0" w:after="0"/>
              <w:rPr>
                <w:rFonts w:eastAsia="Batang"/>
                <w:bCs/>
                <w:lang w:val="en-GB"/>
              </w:rPr>
            </w:pPr>
            <w:r>
              <w:rPr>
                <w:rFonts w:eastAsia="等线"/>
                <w:bCs/>
                <w:lang w:val="en-GB"/>
              </w:rPr>
              <w:t>otherwise (</w:t>
            </w:r>
            <m:oMath>
              <m:r>
                <m:rPr>
                  <m:sty m:val="p"/>
                </m:rPr>
                <w:rPr>
                  <w:rFonts w:ascii="Cambria Math" w:eastAsia="Batang" w:hAnsi="Cambria Math"/>
                  <w:lang w:val="en-GB"/>
                </w:rPr>
                <m:t>υ=1</m:t>
              </m:r>
            </m:oMath>
            <w:r>
              <w:rPr>
                <w:rFonts w:eastAsia="等线"/>
                <w:lang w:val="en-GB"/>
              </w:rPr>
              <w:t xml:space="preserve"> or one same vector for </w:t>
            </w:r>
            <m:oMath>
              <m:r>
                <m:rPr>
                  <m:sty m:val="p"/>
                </m:rPr>
                <w:rPr>
                  <w:rFonts w:ascii="Cambria Math" w:eastAsia="Batang" w:hAnsi="Cambria Math"/>
                  <w:lang w:val="en-GB"/>
                </w:rPr>
                <m:t>υ=2</m:t>
              </m:r>
            </m:oMath>
            <w:r>
              <w:rPr>
                <w:rFonts w:eastAsia="等线"/>
                <w:bCs/>
                <w:lang w:val="en-GB"/>
              </w:rPr>
              <w:t xml:space="preserve">),  </w:t>
            </w:r>
            <m:oMath>
              <m:r>
                <m:rPr>
                  <m:sty m:val="p"/>
                </m:rPr>
                <w:rPr>
                  <w:rFonts w:ascii="Cambria Math" w:eastAsia="Batang" w:hAnsi="Cambria Math"/>
                  <w:lang w:val="en-GB"/>
                </w:rPr>
                <m:t>min</m:t>
              </m:r>
              <m:d>
                <m:dPr>
                  <m:begChr m:val="{"/>
                  <m:endChr m:val="}"/>
                  <m:ctrlPr>
                    <w:rPr>
                      <w:rFonts w:ascii="Cambria Math" w:eastAsia="Batang" w:hAnsi="Cambria Math"/>
                      <w:bCs/>
                      <w:iCs/>
                      <w:lang w:val="en-GB"/>
                    </w:rPr>
                  </m:ctrlPr>
                </m:dPr>
                <m:e>
                  <m:r>
                    <w:rPr>
                      <w:rFonts w:ascii="Cambria Math" w:eastAsia="Batang" w:hAnsi="Cambria Math"/>
                      <w:lang w:val="en-GB"/>
                    </w:rPr>
                    <m:t>1</m:t>
                  </m:r>
                  <m:r>
                    <m:rPr>
                      <m:sty m:val="p"/>
                    </m:rPr>
                    <w:rPr>
                      <w:rFonts w:ascii="Cambria Math" w:eastAsia="Batang" w:hAnsi="Cambria Math"/>
                      <w:lang w:val="en-GB"/>
                    </w:rPr>
                    <m:t>,</m:t>
                  </m:r>
                  <m:sSubSup>
                    <m:sSubSupPr>
                      <m:ctrlPr>
                        <w:rPr>
                          <w:rFonts w:ascii="Cambria Math" w:eastAsia="Batang" w:hAnsi="Cambria Math"/>
                          <w:bCs/>
                          <w:iCs/>
                          <w:lang w:val="en-GB"/>
                        </w:rPr>
                      </m:ctrlPr>
                    </m:sSubSupPr>
                    <m:e>
                      <m:r>
                        <m:rPr>
                          <m:sty m:val="p"/>
                        </m:rPr>
                        <w:rPr>
                          <w:rFonts w:ascii="Cambria Math" w:eastAsia="Batang" w:hAnsi="Cambria Math"/>
                          <w:lang w:val="en-GB"/>
                        </w:rPr>
                        <m:t>s</m:t>
                      </m:r>
                    </m:e>
                    <m:sub>
                      <m:r>
                        <m:rPr>
                          <m:sty m:val="p"/>
                        </m:rPr>
                        <w:rPr>
                          <w:rFonts w:ascii="Cambria Math" w:eastAsia="Batang" w:hAnsi="Cambria Math"/>
                          <w:lang w:val="en-GB"/>
                        </w:rPr>
                        <m:t>i</m:t>
                      </m:r>
                    </m:sub>
                    <m:sup>
                      <m:r>
                        <m:rPr>
                          <m:sty m:val="p"/>
                        </m:rPr>
                        <w:rPr>
                          <w:rFonts w:ascii="Cambria Math" w:eastAsia="Batang" w:hAnsi="Cambria Math"/>
                          <w:lang w:val="en-GB"/>
                        </w:rPr>
                        <m:t>2</m:t>
                      </m:r>
                    </m:sup>
                  </m:sSubSup>
                </m:e>
              </m:d>
            </m:oMath>
            <w:r>
              <w:rPr>
                <w:rFonts w:eastAsia="等线"/>
                <w:bCs/>
                <w:iCs/>
                <w:lang w:val="en-GB"/>
              </w:rPr>
              <w:t xml:space="preserve"> for the vector</w:t>
            </w:r>
          </w:p>
          <w:p w:rsidR="00C42F3E" w:rsidRDefault="00040989" w:rsidP="00A22029">
            <w:pPr>
              <w:snapToGrid w:val="0"/>
              <w:spacing w:before="0" w:after="0"/>
              <w:rPr>
                <w:rFonts w:eastAsia="等线"/>
                <w:bCs/>
                <w:lang w:val="en-GB"/>
              </w:rPr>
            </w:pPr>
            <w:r>
              <w:rPr>
                <w:rFonts w:eastAsia="等线"/>
                <w:bCs/>
                <w:lang w:val="en-GB"/>
              </w:rPr>
              <w:t xml:space="preserve">Where </w:t>
            </w:r>
            <w:proofErr w:type="spellStart"/>
            <w:r>
              <w:rPr>
                <w:rFonts w:eastAsia="等线"/>
                <w:bCs/>
                <w:lang w:val="en-GB"/>
              </w:rPr>
              <w:t>r</w:t>
            </w:r>
            <w:r>
              <w:rPr>
                <w:rFonts w:eastAsia="等线"/>
                <w:bCs/>
                <w:vertAlign w:val="subscript"/>
                <w:lang w:val="en-GB"/>
              </w:rPr>
              <w:t>i</w:t>
            </w:r>
            <w:proofErr w:type="spellEnd"/>
            <w:r>
              <w:rPr>
                <w:rFonts w:eastAsia="等线"/>
                <w:bCs/>
                <w:lang w:val="en-GB"/>
              </w:rPr>
              <w:t xml:space="preserve"> denotes the number of layers associated with the </w:t>
            </w:r>
            <w:proofErr w:type="spellStart"/>
            <w:r>
              <w:rPr>
                <w:rFonts w:eastAsia="等线"/>
                <w:bCs/>
                <w:lang w:val="en-GB"/>
              </w:rPr>
              <w:t>i-th</w:t>
            </w:r>
            <w:proofErr w:type="spellEnd"/>
            <w:r>
              <w:rPr>
                <w:rFonts w:eastAsia="等线"/>
                <w:bCs/>
                <w:lang w:val="en-GB"/>
              </w:rPr>
              <w:t xml:space="preserve"> SD basis vector.</w:t>
            </w:r>
          </w:p>
          <w:p w:rsidR="00C42F3E" w:rsidRDefault="00040989" w:rsidP="00A22029">
            <w:pPr>
              <w:snapToGrid w:val="0"/>
              <w:spacing w:before="0" w:after="0"/>
              <w:rPr>
                <w:rFonts w:eastAsia="等线"/>
                <w:bCs/>
                <w:lang w:val="en-GB"/>
              </w:rPr>
            </w:pPr>
            <w:r>
              <w:rPr>
                <w:rFonts w:eastAsia="等线"/>
                <w:bCs/>
                <w:lang w:val="en-GB"/>
              </w:rPr>
              <w:t>The same scheme applies to both Mode-A and Mode-B.</w:t>
            </w:r>
          </w:p>
          <w:p w:rsidR="00C42F3E" w:rsidRDefault="00040989" w:rsidP="00A22029">
            <w:pPr>
              <w:snapToGrid w:val="0"/>
              <w:spacing w:before="0" w:after="0"/>
              <w:rPr>
                <w:rFonts w:eastAsia="Batang"/>
                <w:iCs/>
                <w:lang w:val="en-GB" w:eastAsia="en-US"/>
              </w:rPr>
            </w:pPr>
            <w:r>
              <w:rPr>
                <w:rFonts w:eastAsia="Batang"/>
                <w:iCs/>
                <w:lang w:val="en-GB" w:eastAsia="en-US"/>
              </w:rPr>
              <w:t xml:space="preserve">Note: </w:t>
            </w:r>
            <m:oMath>
              <m:sSub>
                <m:sSubPr>
                  <m:ctrlPr>
                    <w:rPr>
                      <w:rFonts w:ascii="Cambria Math" w:eastAsia="Batang" w:hAnsi="Cambria Math"/>
                      <w:i/>
                      <w:iCs/>
                      <w:lang w:val="en-GB" w:eastAsia="en-US"/>
                    </w:rPr>
                  </m:ctrlPr>
                </m:sSubPr>
                <m:e>
                  <m:r>
                    <w:rPr>
                      <w:rFonts w:ascii="Cambria Math" w:eastAsia="Batang" w:hAnsi="Cambria Math"/>
                      <w:lang w:val="en-GB" w:eastAsia="en-US"/>
                    </w:rPr>
                    <m:t>s</m:t>
                  </m:r>
                </m:e>
                <m:sub>
                  <m:r>
                    <w:rPr>
                      <w:rFonts w:ascii="Cambria Math" w:eastAsia="Batang" w:hAnsi="Cambria Math"/>
                      <w:lang w:val="en-GB" w:eastAsia="en-US"/>
                    </w:rPr>
                    <m:t>i</m:t>
                  </m:r>
                </m:sub>
              </m:sSub>
              <m:r>
                <w:rPr>
                  <w:rFonts w:ascii="Cambria Math" w:eastAsia="Batang" w:hAnsi="Cambria Math"/>
                  <w:lang w:val="en-GB" w:eastAsia="en-US"/>
                </w:rPr>
                <m:t>∈</m:t>
              </m:r>
              <m:d>
                <m:dPr>
                  <m:begChr m:val="{"/>
                  <m:endChr m:val="}"/>
                  <m:ctrlPr>
                    <w:rPr>
                      <w:rFonts w:ascii="Cambria Math" w:eastAsia="Batang" w:hAnsi="Cambria Math"/>
                      <w:i/>
                      <w:iCs/>
                      <w:lang w:val="en-GB" w:eastAsia="en-US"/>
                    </w:rPr>
                  </m:ctrlPr>
                </m:dPr>
                <m:e>
                  <m:rad>
                    <m:radPr>
                      <m:degHide m:val="1"/>
                      <m:ctrlPr>
                        <w:rPr>
                          <w:rFonts w:ascii="Cambria Math" w:eastAsia="Batang" w:hAnsi="Cambria Math"/>
                          <w:i/>
                          <w:iCs/>
                          <w:lang w:val="en-GB" w:eastAsia="en-US"/>
                        </w:rPr>
                      </m:ctrlPr>
                    </m:radPr>
                    <m:deg/>
                    <m:e>
                      <m:r>
                        <w:rPr>
                          <w:rFonts w:ascii="Cambria Math" w:eastAsia="Batang" w:hAnsi="Cambria Math"/>
                          <w:lang w:val="en-GB" w:eastAsia="en-US"/>
                        </w:rPr>
                        <m:t>1</m:t>
                      </m:r>
                    </m:e>
                  </m:rad>
                  <m:r>
                    <m:rPr>
                      <m:sty m:val="p"/>
                    </m:rPr>
                    <w:rPr>
                      <w:rFonts w:ascii="Cambria Math" w:eastAsia="Batang" w:hAnsi="Cambria Math"/>
                      <w:lang w:val="en-GB" w:eastAsia="en-US"/>
                    </w:rPr>
                    <m:t>, </m:t>
                  </m:r>
                  <m:rad>
                    <m:radPr>
                      <m:degHide m:val="1"/>
                      <m:ctrlPr>
                        <w:rPr>
                          <w:rFonts w:ascii="Cambria Math" w:eastAsia="Batang" w:hAnsi="Cambria Math"/>
                          <w:i/>
                          <w:iCs/>
                          <w:lang w:val="en-GB" w:eastAsia="en-US"/>
                        </w:rPr>
                      </m:ctrlPr>
                    </m:radPr>
                    <m:deg/>
                    <m:e>
                      <m:f>
                        <m:fPr>
                          <m:ctrlPr>
                            <w:rPr>
                              <w:rFonts w:ascii="Cambria Math" w:eastAsia="Batang" w:hAnsi="Cambria Math"/>
                              <w:i/>
                              <w:iCs/>
                              <w:lang w:val="en-GB" w:eastAsia="en-US"/>
                            </w:rPr>
                          </m:ctrlPr>
                        </m:fPr>
                        <m:num>
                          <m:r>
                            <w:rPr>
                              <w:rFonts w:ascii="Cambria Math" w:eastAsia="Batang" w:hAnsi="Cambria Math"/>
                              <w:lang w:val="en-GB" w:eastAsia="en-US"/>
                            </w:rPr>
                            <m:t>1</m:t>
                          </m:r>
                        </m:num>
                        <m:den>
                          <m:r>
                            <w:rPr>
                              <w:rFonts w:ascii="Cambria Math" w:eastAsia="Batang" w:hAnsi="Cambria Math"/>
                              <w:lang w:val="en-GB" w:eastAsia="en-US"/>
                            </w:rPr>
                            <m:t>2</m:t>
                          </m:r>
                        </m:den>
                      </m:f>
                    </m:e>
                  </m:rad>
                  <m:r>
                    <m:rPr>
                      <m:sty m:val="p"/>
                    </m:rPr>
                    <w:rPr>
                      <w:rFonts w:ascii="Cambria Math" w:eastAsia="Batang" w:hAnsi="Cambria Math"/>
                      <w:lang w:val="en-GB" w:eastAsia="en-US"/>
                    </w:rPr>
                    <m:t>, </m:t>
                  </m:r>
                  <m:rad>
                    <m:radPr>
                      <m:degHide m:val="1"/>
                      <m:ctrlPr>
                        <w:rPr>
                          <w:rFonts w:ascii="Cambria Math" w:eastAsia="Batang" w:hAnsi="Cambria Math"/>
                          <w:i/>
                          <w:iCs/>
                          <w:lang w:val="en-GB" w:eastAsia="en-US"/>
                        </w:rPr>
                      </m:ctrlPr>
                    </m:radPr>
                    <m:deg/>
                    <m:e>
                      <m:f>
                        <m:fPr>
                          <m:ctrlPr>
                            <w:rPr>
                              <w:rFonts w:ascii="Cambria Math" w:eastAsia="Batang" w:hAnsi="Cambria Math"/>
                              <w:i/>
                              <w:iCs/>
                              <w:lang w:val="en-GB" w:eastAsia="en-US"/>
                            </w:rPr>
                          </m:ctrlPr>
                        </m:fPr>
                        <m:num>
                          <m:r>
                            <w:rPr>
                              <w:rFonts w:ascii="Cambria Math" w:eastAsia="Batang" w:hAnsi="Cambria Math"/>
                              <w:lang w:val="en-GB" w:eastAsia="en-US"/>
                            </w:rPr>
                            <m:t>1</m:t>
                          </m:r>
                        </m:num>
                        <m:den>
                          <m:r>
                            <w:rPr>
                              <w:rFonts w:ascii="Cambria Math" w:eastAsia="Batang" w:hAnsi="Cambria Math"/>
                              <w:lang w:val="en-GB" w:eastAsia="en-US"/>
                            </w:rPr>
                            <m:t>3</m:t>
                          </m:r>
                        </m:den>
                      </m:f>
                    </m:e>
                  </m:rad>
                  <m:r>
                    <m:rPr>
                      <m:sty m:val="p"/>
                    </m:rPr>
                    <w:rPr>
                      <w:rFonts w:ascii="Cambria Math" w:eastAsia="Batang" w:hAnsi="Cambria Math"/>
                      <w:lang w:val="en-GB" w:eastAsia="en-US"/>
                    </w:rPr>
                    <m:t> ,</m:t>
                  </m:r>
                  <m:rad>
                    <m:radPr>
                      <m:degHide m:val="1"/>
                      <m:ctrlPr>
                        <w:rPr>
                          <w:rFonts w:ascii="Cambria Math" w:eastAsia="Batang" w:hAnsi="Cambria Math"/>
                          <w:i/>
                          <w:iCs/>
                          <w:lang w:val="en-GB" w:eastAsia="en-US"/>
                        </w:rPr>
                      </m:ctrlPr>
                    </m:radPr>
                    <m:deg/>
                    <m:e>
                      <m:f>
                        <m:fPr>
                          <m:ctrlPr>
                            <w:rPr>
                              <w:rFonts w:ascii="Cambria Math" w:eastAsia="Batang" w:hAnsi="Cambria Math"/>
                              <w:i/>
                              <w:iCs/>
                              <w:lang w:val="en-GB" w:eastAsia="en-US"/>
                            </w:rPr>
                          </m:ctrlPr>
                        </m:fPr>
                        <m:num>
                          <m:r>
                            <w:rPr>
                              <w:rFonts w:ascii="Cambria Math" w:eastAsia="Batang" w:hAnsi="Cambria Math"/>
                              <w:lang w:val="en-GB" w:eastAsia="en-US"/>
                            </w:rPr>
                            <m:t>1</m:t>
                          </m:r>
                        </m:num>
                        <m:den>
                          <m:r>
                            <w:rPr>
                              <w:rFonts w:ascii="Cambria Math" w:eastAsia="Batang" w:hAnsi="Cambria Math"/>
                              <w:lang w:val="en-GB" w:eastAsia="en-US"/>
                            </w:rPr>
                            <m:t>4</m:t>
                          </m:r>
                        </m:den>
                      </m:f>
                    </m:e>
                  </m:rad>
                  <m:r>
                    <m:rPr>
                      <m:sty m:val="p"/>
                    </m:rPr>
                    <w:rPr>
                      <w:rFonts w:ascii="Cambria Math" w:eastAsia="Batang" w:hAnsi="Cambria Math"/>
                      <w:lang w:val="en-GB" w:eastAsia="en-US"/>
                    </w:rPr>
                    <m:t>,</m:t>
                  </m:r>
                  <m:rad>
                    <m:radPr>
                      <m:degHide m:val="1"/>
                      <m:ctrlPr>
                        <w:rPr>
                          <w:rFonts w:ascii="Cambria Math" w:eastAsia="Batang" w:hAnsi="Cambria Math"/>
                          <w:i/>
                          <w:iCs/>
                          <w:lang w:val="en-GB" w:eastAsia="en-US"/>
                        </w:rPr>
                      </m:ctrlPr>
                    </m:radPr>
                    <m:deg/>
                    <m:e>
                      <m:f>
                        <m:fPr>
                          <m:ctrlPr>
                            <w:rPr>
                              <w:rFonts w:ascii="Cambria Math" w:eastAsia="Batang" w:hAnsi="Cambria Math"/>
                              <w:i/>
                              <w:iCs/>
                              <w:lang w:val="en-GB" w:eastAsia="en-US"/>
                            </w:rPr>
                          </m:ctrlPr>
                        </m:fPr>
                        <m:num>
                          <m:r>
                            <w:rPr>
                              <w:rFonts w:ascii="Cambria Math" w:eastAsia="Batang" w:hAnsi="Cambria Math"/>
                              <w:lang w:val="en-GB" w:eastAsia="en-US"/>
                            </w:rPr>
                            <m:t>1</m:t>
                          </m:r>
                        </m:num>
                        <m:den>
                          <m:r>
                            <w:rPr>
                              <w:rFonts w:ascii="Cambria Math" w:eastAsia="Batang" w:hAnsi="Cambria Math"/>
                              <w:lang w:val="en-GB" w:eastAsia="en-US"/>
                            </w:rPr>
                            <m:t>6</m:t>
                          </m:r>
                        </m:den>
                      </m:f>
                    </m:e>
                  </m:rad>
                  <m:r>
                    <m:rPr>
                      <m:sty m:val="p"/>
                    </m:rPr>
                    <w:rPr>
                      <w:rFonts w:ascii="Cambria Math" w:eastAsia="Batang" w:hAnsi="Cambria Math"/>
                      <w:lang w:val="en-GB" w:eastAsia="en-US"/>
                    </w:rPr>
                    <m:t>,</m:t>
                  </m:r>
                  <m:rad>
                    <m:radPr>
                      <m:degHide m:val="1"/>
                      <m:ctrlPr>
                        <w:rPr>
                          <w:rFonts w:ascii="Cambria Math" w:eastAsia="Batang" w:hAnsi="Cambria Math"/>
                          <w:i/>
                          <w:iCs/>
                          <w:lang w:val="en-GB" w:eastAsia="en-US"/>
                        </w:rPr>
                      </m:ctrlPr>
                    </m:radPr>
                    <m:deg/>
                    <m:e>
                      <m:f>
                        <m:fPr>
                          <m:ctrlPr>
                            <w:rPr>
                              <w:rFonts w:ascii="Cambria Math" w:eastAsia="Batang" w:hAnsi="Cambria Math"/>
                              <w:i/>
                              <w:iCs/>
                              <w:lang w:val="en-GB" w:eastAsia="en-US"/>
                            </w:rPr>
                          </m:ctrlPr>
                        </m:fPr>
                        <m:num>
                          <m:r>
                            <w:rPr>
                              <w:rFonts w:ascii="Cambria Math" w:eastAsia="Batang" w:hAnsi="Cambria Math"/>
                              <w:lang w:val="en-GB" w:eastAsia="en-US"/>
                            </w:rPr>
                            <m:t>1</m:t>
                          </m:r>
                        </m:num>
                        <m:den>
                          <m:r>
                            <w:rPr>
                              <w:rFonts w:ascii="Cambria Math" w:eastAsia="Batang" w:hAnsi="Cambria Math"/>
                              <w:lang w:val="en-GB" w:eastAsia="en-US"/>
                            </w:rPr>
                            <m:t>8</m:t>
                          </m:r>
                        </m:den>
                      </m:f>
                    </m:e>
                  </m:rad>
                  <m:r>
                    <m:rPr>
                      <m:sty m:val="p"/>
                    </m:rPr>
                    <w:rPr>
                      <w:rFonts w:ascii="Cambria Math" w:eastAsia="Batang" w:hAnsi="Cambria Math"/>
                      <w:lang w:val="en-GB" w:eastAsia="en-US"/>
                    </w:rPr>
                    <m:t>,</m:t>
                  </m:r>
                  <m:rad>
                    <m:radPr>
                      <m:degHide m:val="1"/>
                      <m:ctrlPr>
                        <w:rPr>
                          <w:rFonts w:ascii="Cambria Math" w:eastAsia="Batang" w:hAnsi="Cambria Math"/>
                          <w:i/>
                          <w:iCs/>
                          <w:lang w:val="en-GB" w:eastAsia="en-US"/>
                        </w:rPr>
                      </m:ctrlPr>
                    </m:radPr>
                    <m:deg/>
                    <m:e>
                      <m:f>
                        <m:fPr>
                          <m:ctrlPr>
                            <w:rPr>
                              <w:rFonts w:ascii="Cambria Math" w:eastAsia="Batang" w:hAnsi="Cambria Math"/>
                              <w:i/>
                              <w:iCs/>
                              <w:lang w:val="en-GB" w:eastAsia="en-US"/>
                            </w:rPr>
                          </m:ctrlPr>
                        </m:fPr>
                        <m:num>
                          <m:r>
                            <w:rPr>
                              <w:rFonts w:ascii="Cambria Math" w:eastAsia="Batang" w:hAnsi="Cambria Math"/>
                              <w:lang w:val="en-GB" w:eastAsia="en-US"/>
                            </w:rPr>
                            <m:t>1</m:t>
                          </m:r>
                        </m:num>
                        <m:den>
                          <m:r>
                            <w:rPr>
                              <w:rFonts w:ascii="Cambria Math" w:eastAsia="Batang" w:hAnsi="Cambria Math"/>
                              <w:lang w:val="en-GB" w:eastAsia="en-US"/>
                            </w:rPr>
                            <m:t>12</m:t>
                          </m:r>
                        </m:den>
                      </m:f>
                    </m:e>
                  </m:rad>
                  <m:r>
                    <m:rPr>
                      <m:sty m:val="p"/>
                    </m:rPr>
                    <w:rPr>
                      <w:rFonts w:ascii="Cambria Math" w:eastAsia="Batang" w:hAnsi="Cambria Math"/>
                      <w:lang w:val="en-GB" w:eastAsia="en-US"/>
                    </w:rPr>
                    <m:t>,</m:t>
                  </m:r>
                  <m:rad>
                    <m:radPr>
                      <m:degHide m:val="1"/>
                      <m:ctrlPr>
                        <w:rPr>
                          <w:rFonts w:ascii="Cambria Math" w:eastAsia="Batang" w:hAnsi="Cambria Math"/>
                          <w:i/>
                          <w:iCs/>
                          <w:lang w:val="en-GB" w:eastAsia="en-US"/>
                        </w:rPr>
                      </m:ctrlPr>
                    </m:radPr>
                    <m:deg/>
                    <m:e>
                      <m:f>
                        <m:fPr>
                          <m:ctrlPr>
                            <w:rPr>
                              <w:rFonts w:ascii="Cambria Math" w:eastAsia="Batang" w:hAnsi="Cambria Math"/>
                              <w:i/>
                              <w:iCs/>
                              <w:lang w:val="en-GB" w:eastAsia="en-US"/>
                            </w:rPr>
                          </m:ctrlPr>
                        </m:fPr>
                        <m:num>
                          <m:r>
                            <w:rPr>
                              <w:rFonts w:ascii="Cambria Math" w:eastAsia="Batang" w:hAnsi="Cambria Math"/>
                              <w:lang w:val="en-GB" w:eastAsia="en-US"/>
                            </w:rPr>
                            <m:t>1</m:t>
                          </m:r>
                        </m:num>
                        <m:den>
                          <m:r>
                            <w:rPr>
                              <w:rFonts w:ascii="Cambria Math" w:eastAsia="Batang" w:hAnsi="Cambria Math"/>
                              <w:lang w:val="en-GB" w:eastAsia="en-US"/>
                            </w:rPr>
                            <m:t>16</m:t>
                          </m:r>
                        </m:den>
                      </m:f>
                    </m:e>
                  </m:rad>
                </m:e>
              </m:d>
            </m:oMath>
            <w:r>
              <w:rPr>
                <w:rFonts w:eastAsia="Batang"/>
                <w:iCs/>
                <w:lang w:val="en-GB" w:eastAsia="en-US"/>
              </w:rPr>
              <w:t xml:space="preserve"> as agreed in RAN1#117.</w:t>
            </w:r>
          </w:p>
          <w:p w:rsidR="00C42F3E" w:rsidRDefault="00040989" w:rsidP="00A22029">
            <w:pPr>
              <w:snapToGrid w:val="0"/>
              <w:spacing w:before="0" w:after="0"/>
              <w:rPr>
                <w:rFonts w:eastAsia="Batang"/>
                <w:iCs/>
                <w:lang w:val="en-GB" w:eastAsia="en-US"/>
              </w:rPr>
            </w:pPr>
            <w:r>
              <w:rPr>
                <w:rFonts w:eastAsia="Batang"/>
                <w:iCs/>
                <w:lang w:val="en-GB" w:eastAsia="en-US"/>
              </w:rPr>
              <w:t xml:space="preserve">Normalization of precoder should be </w:t>
            </w:r>
            <w:proofErr w:type="gramStart"/>
            <w:r>
              <w:rPr>
                <w:rFonts w:eastAsia="Batang"/>
                <w:iCs/>
                <w:lang w:val="en-GB" w:eastAsia="en-US"/>
              </w:rPr>
              <w:t>taken into account</w:t>
            </w:r>
            <w:proofErr w:type="gramEnd"/>
            <w:r>
              <w:rPr>
                <w:rFonts w:eastAsia="Batang"/>
                <w:iCs/>
                <w:lang w:val="en-GB" w:eastAsia="en-US"/>
              </w:rPr>
              <w:t xml:space="preserve"> in the final specification design.</w:t>
            </w:r>
          </w:p>
          <w:p w:rsidR="00C42F3E" w:rsidRDefault="00C42F3E" w:rsidP="00905627">
            <w:pPr>
              <w:snapToGrid w:val="0"/>
              <w:spacing w:before="0" w:after="0"/>
              <w:jc w:val="left"/>
              <w:rPr>
                <w:rFonts w:eastAsia="Batang"/>
                <w:iCs/>
                <w:szCs w:val="20"/>
                <w:lang w:val="en-GB" w:eastAsia="en-US"/>
              </w:rPr>
            </w:pPr>
          </w:p>
        </w:tc>
      </w:tr>
    </w:tbl>
    <w:p w:rsidR="00C42F3E" w:rsidRDefault="00040989">
      <w:pPr>
        <w:pStyle w:val="aff2"/>
        <w:snapToGrid w:val="0"/>
        <w:spacing w:beforeLines="30" w:before="72" w:afterLines="30" w:after="72" w:line="300" w:lineRule="auto"/>
        <w:ind w:firstLineChars="0" w:firstLine="0"/>
        <w:textAlignment w:val="center"/>
        <w:rPr>
          <w:bCs/>
          <w:iCs/>
          <w:kern w:val="2"/>
          <w:szCs w:val="20"/>
        </w:rPr>
      </w:pPr>
      <w:r>
        <w:rPr>
          <w:rFonts w:hint="eastAsia"/>
          <w:bCs/>
          <w:iCs/>
          <w:kern w:val="2"/>
          <w:szCs w:val="20"/>
        </w:rPr>
        <w:lastRenderedPageBreak/>
        <w:t>Then</w:t>
      </w:r>
      <w:r>
        <w:rPr>
          <w:bCs/>
          <w:iCs/>
          <w:kern w:val="2"/>
          <w:szCs w:val="20"/>
        </w:rPr>
        <w:t xml:space="preserve">, the following </w:t>
      </w:r>
      <w:r>
        <w:rPr>
          <w:rFonts w:hint="eastAsia"/>
          <w:bCs/>
          <w:iCs/>
          <w:kern w:val="2"/>
          <w:szCs w:val="20"/>
        </w:rPr>
        <w:t xml:space="preserve">question and </w:t>
      </w:r>
      <w:r>
        <w:rPr>
          <w:bCs/>
          <w:iCs/>
          <w:kern w:val="2"/>
          <w:szCs w:val="20"/>
        </w:rPr>
        <w:t xml:space="preserve">proposal </w:t>
      </w:r>
      <w:r>
        <w:rPr>
          <w:rFonts w:hint="eastAsia"/>
          <w:bCs/>
          <w:iCs/>
          <w:kern w:val="2"/>
          <w:szCs w:val="20"/>
        </w:rPr>
        <w:t>were</w:t>
      </w:r>
      <w:r>
        <w:rPr>
          <w:bCs/>
          <w:iCs/>
          <w:kern w:val="2"/>
          <w:szCs w:val="20"/>
        </w:rPr>
        <w:t xml:space="preserve"> discussed in pre-RAN1</w:t>
      </w:r>
      <w:r>
        <w:rPr>
          <w:rFonts w:hint="eastAsia"/>
          <w:bCs/>
          <w:iCs/>
          <w:kern w:val="2"/>
          <w:szCs w:val="20"/>
        </w:rPr>
        <w:t>#</w:t>
      </w:r>
      <w:r>
        <w:rPr>
          <w:bCs/>
          <w:iCs/>
          <w:kern w:val="2"/>
          <w:szCs w:val="20"/>
        </w:rPr>
        <w:t>11</w:t>
      </w:r>
      <w:r>
        <w:rPr>
          <w:rFonts w:hint="eastAsia"/>
          <w:bCs/>
          <w:iCs/>
          <w:kern w:val="2"/>
          <w:szCs w:val="20"/>
        </w:rPr>
        <w:t>9</w:t>
      </w:r>
      <w:r>
        <w:rPr>
          <w:bCs/>
          <w:iCs/>
          <w:kern w:val="2"/>
          <w:szCs w:val="20"/>
        </w:rPr>
        <w:t xml:space="preserve"> offline discussion</w:t>
      </w:r>
      <w:r>
        <w:rPr>
          <w:rFonts w:hint="eastAsia"/>
          <w:bCs/>
          <w:iCs/>
          <w:kern w:val="2"/>
          <w:szCs w:val="20"/>
        </w:rPr>
        <w:t>.</w:t>
      </w:r>
    </w:p>
    <w:tbl>
      <w:tblPr>
        <w:tblStyle w:val="af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42F3E">
        <w:tc>
          <w:tcPr>
            <w:tcW w:w="9576" w:type="dxa"/>
          </w:tcPr>
          <w:p w:rsidR="00C42F3E" w:rsidRDefault="00040989" w:rsidP="00A22029">
            <w:pPr>
              <w:spacing w:before="0" w:after="0"/>
              <w:rPr>
                <w:b/>
                <w:szCs w:val="20"/>
              </w:rPr>
            </w:pPr>
            <w:r>
              <w:rPr>
                <w:rFonts w:eastAsia="Batang"/>
                <w:b/>
                <w:szCs w:val="20"/>
                <w:u w:val="single"/>
                <w:lang w:val="en-GB" w:eastAsia="en-US"/>
              </w:rPr>
              <w:t>Question 1</w:t>
            </w:r>
            <w:r>
              <w:rPr>
                <w:rFonts w:hint="eastAsia"/>
                <w:b/>
                <w:szCs w:val="20"/>
                <w:u w:val="single"/>
              </w:rPr>
              <w:t xml:space="preserve"> </w:t>
            </w:r>
            <w:r>
              <w:rPr>
                <w:rFonts w:eastAsiaTheme="minorEastAsia" w:hint="eastAsia"/>
                <w:b/>
                <w:szCs w:val="20"/>
                <w:u w:val="single"/>
                <w:lang w:val="en-GB"/>
              </w:rPr>
              <w:t>(</w:t>
            </w:r>
            <w:r>
              <w:rPr>
                <w:rFonts w:eastAsiaTheme="minorEastAsia"/>
                <w:b/>
                <w:szCs w:val="20"/>
                <w:u w:val="single"/>
                <w:lang w:val="en-GB"/>
              </w:rPr>
              <w:t>pre-RAN1#11</w:t>
            </w:r>
            <w:r>
              <w:rPr>
                <w:rFonts w:eastAsiaTheme="minorEastAsia" w:hint="eastAsia"/>
                <w:b/>
                <w:szCs w:val="20"/>
                <w:u w:val="single"/>
              </w:rPr>
              <w:t>9</w:t>
            </w:r>
            <w:r>
              <w:rPr>
                <w:rFonts w:eastAsiaTheme="minorEastAsia"/>
                <w:b/>
                <w:szCs w:val="20"/>
                <w:u w:val="single"/>
                <w:lang w:val="en-GB"/>
              </w:rPr>
              <w:t>)</w:t>
            </w:r>
            <w:r>
              <w:rPr>
                <w:rFonts w:eastAsia="Batang"/>
                <w:szCs w:val="20"/>
                <w:lang w:val="en-GB" w:eastAsia="en-US"/>
              </w:rPr>
              <w:t xml:space="preserve"> </w:t>
            </w:r>
          </w:p>
          <w:p w:rsidR="00C42F3E" w:rsidRDefault="00040989" w:rsidP="00A22029">
            <w:pPr>
              <w:spacing w:before="0" w:after="0"/>
              <w:rPr>
                <w:rFonts w:eastAsia="Batang"/>
                <w:szCs w:val="20"/>
                <w:lang w:val="en-GB" w:eastAsia="en-US"/>
              </w:rPr>
            </w:pPr>
            <w:r>
              <w:rPr>
                <w:rFonts w:eastAsia="Batang"/>
                <w:szCs w:val="20"/>
                <w:lang w:val="en-GB" w:eastAsia="en-US"/>
              </w:rPr>
              <w:t>With the above observation, please share your preference/view (with justification) on the following:</w:t>
            </w:r>
          </w:p>
          <w:p w:rsidR="00C42F3E" w:rsidRDefault="00040989" w:rsidP="00A22029">
            <w:pPr>
              <w:numPr>
                <w:ilvl w:val="0"/>
                <w:numId w:val="10"/>
              </w:numPr>
              <w:spacing w:before="0" w:after="0"/>
              <w:contextualSpacing/>
              <w:rPr>
                <w:rFonts w:eastAsia="Batang"/>
                <w:szCs w:val="20"/>
                <w:lang w:val="en-GB" w:eastAsia="en-US"/>
              </w:rPr>
            </w:pPr>
            <w:r>
              <w:rPr>
                <w:rFonts w:eastAsia="Batang"/>
                <w:szCs w:val="20"/>
                <w:lang w:val="en-GB" w:eastAsia="en-US"/>
              </w:rPr>
              <w:t xml:space="preserve">Q1.1: Whether </w:t>
            </w:r>
            <w:r>
              <w:rPr>
                <w:rFonts w:eastAsia="Batang"/>
                <w:i/>
                <w:szCs w:val="20"/>
                <w:lang w:val="en-GB" w:eastAsia="en-US"/>
              </w:rPr>
              <w:t xml:space="preserve">the value of </w:t>
            </w:r>
            <w:proofErr w:type="spellStart"/>
            <w:r>
              <w:rPr>
                <w:rFonts w:eastAsia="Batang"/>
                <w:i/>
                <w:szCs w:val="20"/>
                <w:lang w:val="en-GB" w:eastAsia="en-US"/>
              </w:rPr>
              <w:t>s</w:t>
            </w:r>
            <w:r>
              <w:rPr>
                <w:rFonts w:eastAsia="Batang"/>
                <w:i/>
                <w:szCs w:val="20"/>
                <w:vertAlign w:val="subscript"/>
                <w:lang w:val="en-GB" w:eastAsia="en-US"/>
              </w:rPr>
              <w:t>i</w:t>
            </w:r>
            <w:proofErr w:type="spellEnd"/>
            <w:r>
              <w:rPr>
                <w:rFonts w:eastAsia="Batang"/>
                <w:i/>
                <w:szCs w:val="20"/>
                <w:lang w:val="en-GB" w:eastAsia="en-US"/>
              </w:rPr>
              <w:t xml:space="preserve"> </w:t>
            </w:r>
            <w:r>
              <w:rPr>
                <w:rFonts w:eastAsia="Batang"/>
                <w:szCs w:val="20"/>
                <w:lang w:val="en-GB" w:eastAsia="en-US"/>
              </w:rPr>
              <w:t xml:space="preserve">(RRC configuration) is RI-common or RI-specific </w:t>
            </w:r>
          </w:p>
          <w:p w:rsidR="00C42F3E" w:rsidRDefault="00040989" w:rsidP="00A22029">
            <w:pPr>
              <w:numPr>
                <w:ilvl w:val="0"/>
                <w:numId w:val="10"/>
              </w:numPr>
              <w:spacing w:before="0" w:after="0"/>
              <w:contextualSpacing/>
              <w:rPr>
                <w:rFonts w:eastAsia="Batang"/>
                <w:szCs w:val="20"/>
                <w:lang w:val="en-GB" w:eastAsia="en-US"/>
              </w:rPr>
            </w:pPr>
            <w:r>
              <w:rPr>
                <w:rFonts w:eastAsia="Batang"/>
                <w:szCs w:val="20"/>
                <w:lang w:val="en-GB" w:eastAsia="en-US"/>
              </w:rPr>
              <w:t xml:space="preserve">Q1.2: Preference among the 3 merged alternatives of the </w:t>
            </w:r>
            <w:r>
              <w:rPr>
                <w:rFonts w:eastAsia="Batang"/>
                <w:i/>
                <w:szCs w:val="20"/>
                <w:lang w:val="en-GB" w:eastAsia="en-US"/>
              </w:rPr>
              <w:t>amplitude</w:t>
            </w:r>
            <w:r>
              <w:rPr>
                <w:rFonts w:eastAsia="Batang"/>
                <w:szCs w:val="20"/>
                <w:lang w:val="en-GB" w:eastAsia="en-US"/>
              </w:rPr>
              <w:t xml:space="preserve"> scaling formulas (assuming proper precoder normalization):</w:t>
            </w:r>
          </w:p>
          <w:p w:rsidR="00C42F3E" w:rsidRDefault="00040989" w:rsidP="00A22029">
            <w:pPr>
              <w:numPr>
                <w:ilvl w:val="1"/>
                <w:numId w:val="10"/>
              </w:numPr>
              <w:spacing w:before="0" w:after="0"/>
              <w:contextualSpacing/>
              <w:rPr>
                <w:rFonts w:eastAsia="Batang"/>
                <w:szCs w:val="20"/>
                <w:lang w:val="en-GB" w:eastAsia="en-US"/>
              </w:rPr>
            </w:pPr>
            <w:proofErr w:type="spellStart"/>
            <w:r>
              <w:rPr>
                <w:rFonts w:eastAsia="Batang"/>
                <w:szCs w:val="20"/>
                <w:lang w:val="en-GB" w:eastAsia="en-US"/>
              </w:rPr>
              <w:t>AltA</w:t>
            </w:r>
            <w:proofErr w:type="spellEnd"/>
            <w:r>
              <w:rPr>
                <w:rFonts w:eastAsia="Batang"/>
                <w:szCs w:val="20"/>
                <w:lang w:val="en-GB" w:eastAsia="en-US"/>
              </w:rPr>
              <w:t xml:space="preserve"> (baseline, same as RI=1):</w:t>
            </w:r>
            <m:oMath>
              <m:r>
                <m:rPr>
                  <m:sty m:val="p"/>
                </m:rPr>
                <w:rPr>
                  <w:rFonts w:ascii="Cambria Math" w:eastAsia="Batang" w:hAnsi="Cambria Math"/>
                  <w:szCs w:val="20"/>
                </w:rPr>
                <m:t xml:space="preserve"> </m:t>
              </m:r>
              <m:sSub>
                <m:sSubPr>
                  <m:ctrlPr>
                    <w:rPr>
                      <w:rFonts w:ascii="Cambria Math" w:eastAsia="Batang" w:hAnsi="Cambria Math"/>
                      <w:szCs w:val="20"/>
                      <w:lang w:val="de-DE"/>
                    </w:rPr>
                  </m:ctrlPr>
                </m:sSubPr>
                <m:e>
                  <m:r>
                    <w:rPr>
                      <w:rFonts w:ascii="Cambria Math" w:eastAsia="Batang" w:hAnsi="Cambria Math"/>
                      <w:szCs w:val="20"/>
                      <w:lang w:val="de-DE"/>
                    </w:rPr>
                    <m:t>s</m:t>
                  </m:r>
                </m:e>
                <m:sub>
                  <m:r>
                    <w:rPr>
                      <w:rFonts w:ascii="Cambria Math" w:eastAsia="Batang" w:hAnsi="Cambria Math"/>
                      <w:szCs w:val="20"/>
                      <w:lang w:val="de-DE"/>
                    </w:rPr>
                    <m:t>i</m:t>
                  </m:r>
                </m:sub>
              </m:sSub>
            </m:oMath>
          </w:p>
          <w:p w:rsidR="00C42F3E" w:rsidRDefault="00040989" w:rsidP="00A22029">
            <w:pPr>
              <w:numPr>
                <w:ilvl w:val="1"/>
                <w:numId w:val="10"/>
              </w:numPr>
              <w:spacing w:before="0" w:after="0"/>
              <w:contextualSpacing/>
              <w:rPr>
                <w:rFonts w:eastAsia="Batang"/>
                <w:szCs w:val="20"/>
                <w:lang w:val="en-GB" w:eastAsia="en-US"/>
              </w:rPr>
            </w:pPr>
            <w:proofErr w:type="spellStart"/>
            <w:r>
              <w:rPr>
                <w:rFonts w:eastAsia="Batang"/>
                <w:szCs w:val="20"/>
                <w:lang w:val="en-GB" w:eastAsia="en-US"/>
              </w:rPr>
              <w:t>AltB</w:t>
            </w:r>
            <w:proofErr w:type="spellEnd"/>
            <w:r>
              <w:rPr>
                <w:rFonts w:eastAsia="Batang"/>
                <w:szCs w:val="20"/>
                <w:lang w:val="en-GB" w:eastAsia="en-US"/>
              </w:rPr>
              <w:t>:</w:t>
            </w:r>
            <m:oMath>
              <m:r>
                <m:rPr>
                  <m:sty m:val="p"/>
                </m:rPr>
                <w:rPr>
                  <w:rFonts w:ascii="Cambria Math" w:eastAsia="Batang" w:hAnsi="Cambria Math"/>
                  <w:szCs w:val="20"/>
                  <w:lang w:val="en-GB" w:eastAsia="en-US"/>
                </w:rPr>
                <m:t xml:space="preserve"> </m:t>
              </m:r>
              <m:f>
                <m:fPr>
                  <m:type m:val="lin"/>
                  <m:ctrlPr>
                    <w:rPr>
                      <w:rFonts w:ascii="Cambria Math" w:eastAsia="Batang" w:hAnsi="Cambria Math"/>
                      <w:szCs w:val="20"/>
                      <w:lang w:val="en-GB" w:eastAsia="en-US"/>
                    </w:rPr>
                  </m:ctrlPr>
                </m:fPr>
                <m:num>
                  <m:sSub>
                    <m:sSubPr>
                      <m:ctrlPr>
                        <w:rPr>
                          <w:rFonts w:ascii="Cambria Math" w:eastAsia="Batang" w:hAnsi="Cambria Math"/>
                          <w:szCs w:val="20"/>
                          <w:lang w:val="de-DE"/>
                        </w:rPr>
                      </m:ctrlPr>
                    </m:sSubPr>
                    <m:e>
                      <m:r>
                        <w:rPr>
                          <w:rFonts w:ascii="Cambria Math" w:eastAsia="Batang" w:hAnsi="Cambria Math"/>
                          <w:szCs w:val="20"/>
                          <w:lang w:val="de-DE"/>
                        </w:rPr>
                        <m:t>s</m:t>
                      </m:r>
                    </m:e>
                    <m:sub>
                      <m:r>
                        <w:rPr>
                          <w:rFonts w:ascii="Cambria Math" w:eastAsia="Batang" w:hAnsi="Cambria Math"/>
                          <w:szCs w:val="20"/>
                          <w:lang w:val="de-DE"/>
                        </w:rPr>
                        <m:t>i</m:t>
                      </m:r>
                    </m:sub>
                  </m:sSub>
                </m:num>
                <m:den>
                  <m:rad>
                    <m:radPr>
                      <m:degHide m:val="1"/>
                      <m:ctrlPr>
                        <w:rPr>
                          <w:rFonts w:ascii="Cambria Math" w:eastAsia="Batang" w:hAnsi="Cambria Math"/>
                          <w:szCs w:val="20"/>
                          <w:lang w:val="de-DE"/>
                        </w:rPr>
                      </m:ctrlPr>
                    </m:radPr>
                    <m:deg/>
                    <m:e>
                      <m:sSub>
                        <m:sSubPr>
                          <m:ctrlPr>
                            <w:rPr>
                              <w:rFonts w:ascii="Cambria Math" w:eastAsia="Batang" w:hAnsi="Cambria Math"/>
                              <w:szCs w:val="20"/>
                              <w:lang w:val="de-DE"/>
                            </w:rPr>
                          </m:ctrlPr>
                        </m:sSubPr>
                        <m:e>
                          <m:r>
                            <w:rPr>
                              <w:rFonts w:ascii="Cambria Math" w:eastAsia="Batang" w:hAnsi="Cambria Math"/>
                              <w:szCs w:val="20"/>
                              <w:lang w:val="de-DE"/>
                            </w:rPr>
                            <m:t>r</m:t>
                          </m:r>
                        </m:e>
                        <m:sub>
                          <m:r>
                            <w:rPr>
                              <w:rFonts w:ascii="Cambria Math" w:eastAsia="Batang" w:hAnsi="Cambria Math"/>
                              <w:szCs w:val="20"/>
                              <w:lang w:val="de-DE"/>
                            </w:rPr>
                            <m:t>i</m:t>
                          </m:r>
                        </m:sub>
                      </m:sSub>
                    </m:e>
                  </m:rad>
                </m:den>
              </m:f>
            </m:oMath>
          </w:p>
          <w:p w:rsidR="00C42F3E" w:rsidRPr="00905627" w:rsidRDefault="00040989" w:rsidP="00A22029">
            <w:pPr>
              <w:numPr>
                <w:ilvl w:val="1"/>
                <w:numId w:val="10"/>
              </w:numPr>
              <w:spacing w:before="0" w:after="0"/>
              <w:contextualSpacing/>
              <w:rPr>
                <w:rFonts w:eastAsia="Batang"/>
                <w:b/>
                <w:szCs w:val="20"/>
                <w:u w:val="single"/>
                <w:lang w:val="pt-BR" w:eastAsia="en-US"/>
              </w:rPr>
            </w:pPr>
            <w:r>
              <w:rPr>
                <w:rFonts w:eastAsia="Batang"/>
                <w:szCs w:val="20"/>
                <w:lang w:val="pt-BR" w:eastAsia="en-US"/>
              </w:rPr>
              <w:t xml:space="preserve">AltC: </w:t>
            </w:r>
            <m:oMath>
              <m:f>
                <m:fPr>
                  <m:type m:val="lin"/>
                  <m:ctrlPr>
                    <w:rPr>
                      <w:rFonts w:ascii="Cambria Math" w:eastAsia="Batang" w:hAnsi="Cambria Math"/>
                      <w:szCs w:val="20"/>
                      <w:lang w:val="en-GB" w:eastAsia="en-US"/>
                    </w:rPr>
                  </m:ctrlPr>
                </m:fPr>
                <m:num>
                  <m:sSub>
                    <m:sSubPr>
                      <m:ctrlPr>
                        <w:rPr>
                          <w:rFonts w:ascii="Cambria Math" w:eastAsia="Batang" w:hAnsi="Cambria Math"/>
                          <w:szCs w:val="20"/>
                          <w:lang w:val="de-DE"/>
                        </w:rPr>
                      </m:ctrlPr>
                    </m:sSubPr>
                    <m:e>
                      <m:r>
                        <w:rPr>
                          <w:rFonts w:ascii="Cambria Math" w:eastAsia="Batang" w:hAnsi="Cambria Math"/>
                          <w:szCs w:val="20"/>
                          <w:lang w:val="de-DE"/>
                        </w:rPr>
                        <m:t>s</m:t>
                      </m:r>
                    </m:e>
                    <m:sub>
                      <m:r>
                        <w:rPr>
                          <w:rFonts w:ascii="Cambria Math" w:eastAsia="Batang" w:hAnsi="Cambria Math"/>
                          <w:szCs w:val="20"/>
                          <w:lang w:val="de-DE"/>
                        </w:rPr>
                        <m:t>i</m:t>
                      </m:r>
                    </m:sub>
                  </m:sSub>
                </m:num>
                <m:den>
                  <m:rad>
                    <m:radPr>
                      <m:degHide m:val="1"/>
                      <m:ctrlPr>
                        <w:rPr>
                          <w:rFonts w:ascii="Cambria Math" w:eastAsia="Batang" w:hAnsi="Cambria Math"/>
                          <w:szCs w:val="20"/>
                          <w:lang w:val="de-DE"/>
                        </w:rPr>
                      </m:ctrlPr>
                    </m:radPr>
                    <m:deg/>
                    <m:e>
                      <m:nary>
                        <m:naryPr>
                          <m:chr m:val="∑"/>
                          <m:supHide m:val="1"/>
                          <m:ctrlPr>
                            <w:rPr>
                              <w:rFonts w:ascii="Cambria Math" w:eastAsia="Batang" w:hAnsi="Cambria Math"/>
                              <w:bCs/>
                              <w:i/>
                              <w:szCs w:val="20"/>
                              <w:lang w:val="en-GB"/>
                            </w:rPr>
                          </m:ctrlPr>
                        </m:naryPr>
                        <m:sub>
                          <m:r>
                            <w:rPr>
                              <w:rFonts w:ascii="Cambria Math" w:eastAsia="Batang" w:hAnsi="Cambria Math"/>
                              <w:szCs w:val="20"/>
                              <w:lang w:val="de-DE"/>
                            </w:rPr>
                            <m:t>k∈</m:t>
                          </m:r>
                          <m:sSub>
                            <m:sSubPr>
                              <m:ctrlPr>
                                <w:rPr>
                                  <w:rFonts w:ascii="Cambria Math" w:eastAsia="Batang" w:hAnsi="Cambria Math"/>
                                  <w:bCs/>
                                  <w:i/>
                                  <w:szCs w:val="20"/>
                                  <w:lang w:val="en-GB"/>
                                </w:rPr>
                              </m:ctrlPr>
                            </m:sSubPr>
                            <m:e>
                              <m:r>
                                <w:rPr>
                                  <w:rFonts w:ascii="Cambria Math" w:eastAsia="Batang" w:hAnsi="Cambria Math"/>
                                  <w:szCs w:val="20"/>
                                  <w:lang w:val="de-DE"/>
                                </w:rPr>
                                <m:t>G</m:t>
                              </m:r>
                            </m:e>
                            <m:sub>
                              <m:r>
                                <w:rPr>
                                  <w:rFonts w:ascii="Cambria Math" w:eastAsia="Batang" w:hAnsi="Cambria Math"/>
                                  <w:szCs w:val="20"/>
                                  <w:lang w:val="de-DE"/>
                                </w:rPr>
                                <m:t>i</m:t>
                              </m:r>
                            </m:sub>
                          </m:sSub>
                        </m:sub>
                        <m:sup/>
                        <m:e>
                          <m:sSub>
                            <m:sSubPr>
                              <m:ctrlPr>
                                <w:rPr>
                                  <w:rFonts w:ascii="Cambria Math" w:eastAsia="Batang" w:hAnsi="Cambria Math"/>
                                  <w:bCs/>
                                  <w:i/>
                                  <w:szCs w:val="20"/>
                                  <w:lang w:val="en-GB"/>
                                </w:rPr>
                              </m:ctrlPr>
                            </m:sSubPr>
                            <m:e>
                              <m:r>
                                <w:rPr>
                                  <w:rFonts w:ascii="Cambria Math" w:eastAsia="Batang" w:hAnsi="Cambria Math"/>
                                  <w:szCs w:val="20"/>
                                  <w:lang w:val="de-DE"/>
                                </w:rPr>
                                <m:t>r</m:t>
                              </m:r>
                            </m:e>
                            <m:sub>
                              <m:r>
                                <w:rPr>
                                  <w:rFonts w:ascii="Cambria Math" w:eastAsia="Batang" w:hAnsi="Cambria Math"/>
                                  <w:szCs w:val="20"/>
                                  <w:lang w:val="de-DE"/>
                                </w:rPr>
                                <m:t>k</m:t>
                              </m:r>
                            </m:sub>
                          </m:sSub>
                        </m:e>
                      </m:nary>
                    </m:e>
                  </m:rad>
                </m:den>
              </m:f>
              <m:r>
                <m:rPr>
                  <m:sty m:val="p"/>
                </m:rPr>
                <w:rPr>
                  <w:rFonts w:ascii="Cambria Math" w:eastAsia="Batang" w:hAnsi="Cambria Math"/>
                  <w:szCs w:val="20"/>
                  <w:lang w:val="pt-BR" w:eastAsia="en-US"/>
                </w:rPr>
                <m:t xml:space="preserve"> </m:t>
              </m:r>
            </m:oMath>
            <w:r>
              <w:rPr>
                <w:rFonts w:eastAsia="Batang"/>
                <w:szCs w:val="20"/>
                <w:lang w:val="pt-BR" w:eastAsia="en-US"/>
              </w:rPr>
              <w:t xml:space="preserve"> </w:t>
            </w:r>
          </w:p>
          <w:p w:rsidR="00C42F3E" w:rsidRDefault="00040989" w:rsidP="00A22029">
            <w:pPr>
              <w:spacing w:before="0" w:after="0"/>
              <w:rPr>
                <w:szCs w:val="20"/>
              </w:rPr>
            </w:pPr>
            <w:r>
              <w:rPr>
                <w:rFonts w:eastAsia="Batang"/>
                <w:b/>
                <w:szCs w:val="20"/>
                <w:u w:val="single"/>
                <w:lang w:val="en-GB" w:eastAsia="en-US"/>
              </w:rPr>
              <w:t>Proposal 1.A.1</w:t>
            </w:r>
            <w:r>
              <w:rPr>
                <w:rFonts w:hint="eastAsia"/>
                <w:b/>
                <w:szCs w:val="20"/>
                <w:u w:val="single"/>
              </w:rPr>
              <w:t xml:space="preserve"> </w:t>
            </w:r>
            <w:r>
              <w:rPr>
                <w:rFonts w:eastAsiaTheme="minorEastAsia" w:hint="eastAsia"/>
                <w:b/>
                <w:szCs w:val="20"/>
                <w:u w:val="single"/>
                <w:lang w:val="en-GB"/>
              </w:rPr>
              <w:t>(</w:t>
            </w:r>
            <w:r>
              <w:rPr>
                <w:rFonts w:eastAsiaTheme="minorEastAsia"/>
                <w:b/>
                <w:szCs w:val="20"/>
                <w:u w:val="single"/>
                <w:lang w:val="en-GB"/>
              </w:rPr>
              <w:t>pre-RAN1#11</w:t>
            </w:r>
            <w:r>
              <w:rPr>
                <w:rFonts w:eastAsiaTheme="minorEastAsia" w:hint="eastAsia"/>
                <w:b/>
                <w:szCs w:val="20"/>
                <w:u w:val="single"/>
              </w:rPr>
              <w:t>9</w:t>
            </w:r>
            <w:r>
              <w:rPr>
                <w:rFonts w:eastAsiaTheme="minorEastAsia"/>
                <w:b/>
                <w:szCs w:val="20"/>
                <w:u w:val="single"/>
                <w:lang w:val="en-GB"/>
              </w:rPr>
              <w:t>)</w:t>
            </w:r>
            <w:r>
              <w:rPr>
                <w:rFonts w:eastAsia="Batang"/>
                <w:szCs w:val="20"/>
                <w:lang w:val="en-GB" w:eastAsia="en-US"/>
              </w:rPr>
              <w:t xml:space="preserve"> </w:t>
            </w:r>
          </w:p>
          <w:p w:rsidR="00C42F3E" w:rsidRDefault="00040989" w:rsidP="00A22029">
            <w:pPr>
              <w:spacing w:before="0" w:after="0"/>
              <w:rPr>
                <w:rFonts w:eastAsia="Batang"/>
                <w:iCs/>
                <w:szCs w:val="20"/>
                <w:lang w:val="en-GB" w:eastAsia="en-US"/>
              </w:rPr>
            </w:pPr>
            <w:r>
              <w:rPr>
                <w:rFonts w:eastAsia="Batang"/>
                <w:iCs/>
                <w:szCs w:val="20"/>
                <w:lang w:val="en-GB" w:eastAsia="en-US"/>
              </w:rPr>
              <w:t xml:space="preserve">For the Rel-19 Type-I SP codebook refinement for 48, 64, and 128 CSI-RS ports, regarding </w:t>
            </w:r>
            <w:r>
              <w:rPr>
                <w:rFonts w:eastAsia="Batang"/>
                <w:szCs w:val="20"/>
                <w:lang w:val="en-GB" w:eastAsia="en-US"/>
              </w:rPr>
              <w:t>per-layer scaling factor applied to each of the selected SD basis vectors</w:t>
            </w:r>
            <w:r>
              <w:rPr>
                <w:rFonts w:eastAsia="Batang"/>
                <w:iCs/>
                <w:szCs w:val="20"/>
                <w:lang w:val="en-GB" w:eastAsia="en-US"/>
              </w:rPr>
              <w:t xml:space="preserve"> associated with RI=</w:t>
            </w:r>
            <w:r>
              <w:rPr>
                <w:rFonts w:eastAsia="Batang"/>
                <w:i/>
                <w:iCs/>
                <w:szCs w:val="20"/>
                <w:lang w:val="en-GB" w:eastAsia="en-US"/>
              </w:rPr>
              <w:t>v=</w:t>
            </w:r>
            <w:r>
              <w:rPr>
                <w:rFonts w:eastAsia="Batang"/>
                <w:iCs/>
                <w:szCs w:val="20"/>
                <w:lang w:val="en-GB" w:eastAsia="en-US"/>
              </w:rPr>
              <w:t>2 for the 3-bit scaling factor(s):</w:t>
            </w:r>
          </w:p>
          <w:p w:rsidR="00C42F3E" w:rsidRDefault="00040989" w:rsidP="00A22029">
            <w:pPr>
              <w:numPr>
                <w:ilvl w:val="0"/>
                <w:numId w:val="11"/>
              </w:numPr>
              <w:spacing w:before="0" w:after="0"/>
              <w:contextualSpacing/>
              <w:rPr>
                <w:rFonts w:eastAsia="Batang"/>
                <w:iCs/>
                <w:szCs w:val="20"/>
                <w:lang w:val="en-GB" w:eastAsia="en-US"/>
              </w:rPr>
            </w:pPr>
            <w:r>
              <w:rPr>
                <w:rFonts w:eastAsia="Batang"/>
                <w:iCs/>
                <w:szCs w:val="20"/>
                <w:lang w:val="en-GB" w:eastAsia="en-US"/>
              </w:rPr>
              <w:t>Reuse the scaling formula for RI=</w:t>
            </w:r>
            <w:r>
              <w:rPr>
                <w:rFonts w:eastAsia="Batang"/>
                <w:i/>
                <w:iCs/>
                <w:szCs w:val="20"/>
                <w:lang w:val="en-GB" w:eastAsia="en-US"/>
              </w:rPr>
              <w:t>v</w:t>
            </w:r>
            <w:r>
              <w:rPr>
                <w:rFonts w:eastAsia="Batang"/>
                <w:iCs/>
                <w:szCs w:val="20"/>
                <w:lang w:val="en-GB" w:eastAsia="en-US"/>
              </w:rPr>
              <w:t xml:space="preserve">=1, i.e. </w:t>
            </w:r>
            <m:oMath>
              <m:sSub>
                <m:sSubPr>
                  <m:ctrlPr>
                    <w:rPr>
                      <w:rFonts w:ascii="Cambria Math" w:eastAsia="Batang" w:hAnsi="Cambria Math"/>
                      <w:szCs w:val="20"/>
                      <w:lang w:val="de-DE"/>
                    </w:rPr>
                  </m:ctrlPr>
                </m:sSubPr>
                <m:e>
                  <m:r>
                    <w:rPr>
                      <w:rFonts w:ascii="Cambria Math" w:eastAsia="Batang" w:hAnsi="Cambria Math"/>
                      <w:szCs w:val="20"/>
                      <w:lang w:val="de-DE"/>
                    </w:rPr>
                    <m:t>s</m:t>
                  </m:r>
                </m:e>
                <m:sub>
                  <m:r>
                    <w:rPr>
                      <w:rFonts w:ascii="Cambria Math" w:eastAsia="Batang" w:hAnsi="Cambria Math"/>
                      <w:szCs w:val="20"/>
                      <w:lang w:val="de-DE"/>
                    </w:rPr>
                    <m:t>i</m:t>
                  </m:r>
                </m:sub>
              </m:sSub>
            </m:oMath>
          </w:p>
          <w:p w:rsidR="00C42F3E" w:rsidRDefault="00040989" w:rsidP="00A22029">
            <w:pPr>
              <w:numPr>
                <w:ilvl w:val="1"/>
                <w:numId w:val="11"/>
              </w:numPr>
              <w:spacing w:before="0" w:after="0"/>
              <w:contextualSpacing/>
              <w:rPr>
                <w:rFonts w:eastAsia="Batang"/>
                <w:iCs/>
                <w:szCs w:val="20"/>
                <w:lang w:val="en-GB" w:eastAsia="en-US"/>
              </w:rPr>
            </w:pPr>
            <w:r>
              <w:rPr>
                <w:rFonts w:eastAsia="Batang"/>
                <w:iCs/>
                <w:szCs w:val="20"/>
                <w:lang w:val="en-GB" w:eastAsia="en-US"/>
              </w:rPr>
              <w:t>Reuse legacy precoder normalization (per discretion of the spec editor)</w:t>
            </w:r>
          </w:p>
          <w:p w:rsidR="00C42F3E" w:rsidRDefault="00040989" w:rsidP="00A22029">
            <w:pPr>
              <w:numPr>
                <w:ilvl w:val="1"/>
                <w:numId w:val="11"/>
              </w:numPr>
              <w:spacing w:before="0" w:after="0"/>
              <w:contextualSpacing/>
              <w:rPr>
                <w:rFonts w:eastAsia="Batang"/>
                <w:iCs/>
                <w:szCs w:val="20"/>
                <w:lang w:val="en-GB" w:eastAsia="en-US"/>
              </w:rPr>
            </w:pPr>
            <w:r>
              <w:rPr>
                <w:rFonts w:eastAsia="Batang"/>
                <w:iCs/>
                <w:szCs w:val="20"/>
                <w:lang w:val="en-GB" w:eastAsia="en-US"/>
              </w:rPr>
              <w:t xml:space="preserve">FFS: Whether additional operations such as min(.) and/or additional normalization are needed </w:t>
            </w:r>
          </w:p>
          <w:p w:rsidR="00C42F3E" w:rsidRDefault="00040989" w:rsidP="00A22029">
            <w:pPr>
              <w:numPr>
                <w:ilvl w:val="0"/>
                <w:numId w:val="11"/>
              </w:numPr>
              <w:spacing w:before="0" w:after="0"/>
              <w:contextualSpacing/>
              <w:rPr>
                <w:rFonts w:eastAsia="Batang"/>
                <w:iCs/>
                <w:szCs w:val="20"/>
                <w:lang w:val="en-GB" w:eastAsia="en-US"/>
              </w:rPr>
            </w:pPr>
            <w:r>
              <w:rPr>
                <w:rFonts w:eastAsia="Batang"/>
                <w:iCs/>
                <w:szCs w:val="20"/>
                <w:lang w:val="en-GB" w:eastAsia="en-US"/>
              </w:rPr>
              <w:t xml:space="preserve">Regarding the configuration of the </w:t>
            </w:r>
            <m:oMath>
              <m:sSub>
                <m:sSubPr>
                  <m:ctrlPr>
                    <w:rPr>
                      <w:rFonts w:ascii="Cambria Math" w:eastAsia="Batang" w:hAnsi="Cambria Math"/>
                      <w:szCs w:val="20"/>
                      <w:lang w:val="de-DE"/>
                    </w:rPr>
                  </m:ctrlPr>
                </m:sSubPr>
                <m:e>
                  <m:r>
                    <w:rPr>
                      <w:rFonts w:ascii="Cambria Math" w:eastAsia="Batang" w:hAnsi="Cambria Math"/>
                      <w:szCs w:val="20"/>
                      <w:lang w:val="de-DE"/>
                    </w:rPr>
                    <m:t>s</m:t>
                  </m:r>
                </m:e>
                <m:sub>
                  <m:r>
                    <w:rPr>
                      <w:rFonts w:ascii="Cambria Math" w:eastAsia="Batang" w:hAnsi="Cambria Math"/>
                      <w:szCs w:val="20"/>
                      <w:lang w:val="de-DE"/>
                    </w:rPr>
                    <m:t>i</m:t>
                  </m:r>
                </m:sub>
              </m:sSub>
            </m:oMath>
            <w:r>
              <w:rPr>
                <w:rFonts w:eastAsia="Batang"/>
                <w:szCs w:val="20"/>
              </w:rPr>
              <w:t xml:space="preserve"> </w:t>
            </w:r>
            <w:r>
              <w:rPr>
                <w:rFonts w:eastAsia="Batang"/>
                <w:iCs/>
                <w:szCs w:val="20"/>
                <w:lang w:val="en-GB" w:eastAsia="en-US"/>
              </w:rPr>
              <w:t>value (3-bit indicator per SD basis vector group), decide, by RAN1#119, between the following:</w:t>
            </w:r>
          </w:p>
          <w:p w:rsidR="00C42F3E" w:rsidRDefault="00040989" w:rsidP="00A22029">
            <w:pPr>
              <w:numPr>
                <w:ilvl w:val="1"/>
                <w:numId w:val="11"/>
              </w:numPr>
              <w:spacing w:before="0" w:after="0"/>
              <w:contextualSpacing/>
              <w:rPr>
                <w:rFonts w:eastAsia="Batang"/>
                <w:iCs/>
                <w:szCs w:val="20"/>
                <w:lang w:val="en-GB" w:eastAsia="en-US"/>
              </w:rPr>
            </w:pPr>
            <w:r>
              <w:rPr>
                <w:rFonts w:eastAsia="Batang"/>
                <w:iCs/>
                <w:szCs w:val="20"/>
                <w:lang w:val="en-GB" w:eastAsia="en-US"/>
              </w:rPr>
              <w:t>Alt1. RI=1 and RI=2 are separately configured (RI-specific)</w:t>
            </w:r>
          </w:p>
          <w:p w:rsidR="00C42F3E" w:rsidRDefault="00040989" w:rsidP="00A22029">
            <w:pPr>
              <w:numPr>
                <w:ilvl w:val="1"/>
                <w:numId w:val="11"/>
              </w:numPr>
              <w:spacing w:before="0" w:after="0"/>
              <w:contextualSpacing/>
              <w:rPr>
                <w:rFonts w:eastAsia="Batang"/>
                <w:szCs w:val="20"/>
                <w:lang w:val="en-GB" w:eastAsia="en-US"/>
              </w:rPr>
            </w:pPr>
            <w:r>
              <w:rPr>
                <w:rFonts w:eastAsia="Batang"/>
                <w:iCs/>
                <w:szCs w:val="20"/>
                <w:lang w:val="en-GB" w:eastAsia="en-US"/>
              </w:rPr>
              <w:t>Alt2. A same configuration is used for RI=1 and RI=2 (RI-common)</w:t>
            </w:r>
          </w:p>
        </w:tc>
      </w:tr>
    </w:tbl>
    <w:p w:rsidR="00C42F3E" w:rsidRDefault="00040989">
      <w:pPr>
        <w:pStyle w:val="aff2"/>
        <w:ind w:firstLineChars="0" w:firstLine="0"/>
        <w:rPr>
          <w:iCs/>
          <w:szCs w:val="20"/>
        </w:rPr>
      </w:pPr>
      <w:r>
        <w:rPr>
          <w:rFonts w:hint="eastAsia"/>
          <w:iCs/>
          <w:szCs w:val="20"/>
        </w:rPr>
        <w:lastRenderedPageBreak/>
        <w:t xml:space="preserve">Firstly, the precoder normalization should be analogous to what has been </w:t>
      </w:r>
      <w:r>
        <w:rPr>
          <w:iCs/>
          <w:szCs w:val="20"/>
        </w:rPr>
        <w:t>specified in legacy to</w:t>
      </w:r>
      <w:r>
        <w:rPr>
          <w:rFonts w:hint="eastAsia"/>
          <w:iCs/>
          <w:szCs w:val="20"/>
        </w:rPr>
        <w:t xml:space="preserve"> ensure the same transmit power </w:t>
      </w:r>
      <w:r>
        <w:rPr>
          <w:iCs/>
          <w:szCs w:val="20"/>
        </w:rPr>
        <w:t>for</w:t>
      </w:r>
      <w:r>
        <w:rPr>
          <w:rFonts w:hint="eastAsia"/>
          <w:iCs/>
          <w:szCs w:val="20"/>
        </w:rPr>
        <w:t xml:space="preserve"> different RI values. Therefore, we suggest maintaining the legacy normalization coefficient </w:t>
      </w:r>
      <m:oMath>
        <m:f>
          <m:fPr>
            <m:ctrlPr>
              <w:rPr>
                <w:rFonts w:ascii="Cambria Math" w:hAnsi="Cambria Math" w:hint="eastAsia"/>
                <w:iCs/>
                <w:szCs w:val="20"/>
              </w:rPr>
            </m:ctrlPr>
          </m:fPr>
          <m:num>
            <m:r>
              <m:rPr>
                <m:sty m:val="p"/>
              </m:rPr>
              <w:rPr>
                <w:rFonts w:ascii="Cambria Math" w:hAnsi="Cambria Math" w:hint="eastAsia"/>
                <w:szCs w:val="20"/>
              </w:rPr>
              <m:t>1</m:t>
            </m:r>
          </m:num>
          <m:den>
            <m:rad>
              <m:radPr>
                <m:degHide m:val="1"/>
                <m:ctrlPr>
                  <w:rPr>
                    <w:rFonts w:ascii="Cambria Math" w:hAnsi="Cambria Math" w:hint="eastAsia"/>
                    <w:iCs/>
                    <w:szCs w:val="20"/>
                  </w:rPr>
                </m:ctrlPr>
              </m:radPr>
              <m:deg/>
              <m:e>
                <m:r>
                  <w:rPr>
                    <w:rFonts w:ascii="Cambria Math" w:hAnsi="Cambria Math" w:hint="eastAsia"/>
                    <w:szCs w:val="20"/>
                  </w:rPr>
                  <m:t>v</m:t>
                </m:r>
                <m:sSub>
                  <m:sSubPr>
                    <m:ctrlPr>
                      <w:rPr>
                        <w:rFonts w:ascii="Cambria Math" w:hAnsi="Cambria Math" w:hint="eastAsia"/>
                        <w:iCs/>
                        <w:szCs w:val="20"/>
                      </w:rPr>
                    </m:ctrlPr>
                  </m:sSubPr>
                  <m:e>
                    <m:r>
                      <w:rPr>
                        <w:rFonts w:ascii="Cambria Math" w:hAnsi="Cambria Math" w:hint="eastAsia"/>
                        <w:szCs w:val="20"/>
                      </w:rPr>
                      <m:t>P</m:t>
                    </m:r>
                  </m:e>
                  <m:sub>
                    <m:r>
                      <m:rPr>
                        <m:sty m:val="p"/>
                      </m:rPr>
                      <w:rPr>
                        <w:rFonts w:ascii="Cambria Math" w:hAnsi="Cambria Math" w:hint="eastAsia"/>
                        <w:szCs w:val="20"/>
                      </w:rPr>
                      <m:t>CSI</m:t>
                    </m:r>
                    <m:r>
                      <m:rPr>
                        <m:sty m:val="p"/>
                      </m:rPr>
                      <w:rPr>
                        <w:rFonts w:ascii="Cambria Math" w:hAnsi="Cambria Math" w:hint="eastAsia"/>
                        <w:szCs w:val="20"/>
                      </w:rPr>
                      <m:t>-</m:t>
                    </m:r>
                    <m:r>
                      <m:rPr>
                        <m:sty m:val="p"/>
                      </m:rPr>
                      <w:rPr>
                        <w:rFonts w:ascii="Cambria Math" w:hAnsi="Cambria Math" w:hint="eastAsia"/>
                        <w:szCs w:val="20"/>
                      </w:rPr>
                      <m:t>RS</m:t>
                    </m:r>
                  </m:sub>
                </m:sSub>
              </m:e>
            </m:rad>
          </m:den>
        </m:f>
      </m:oMath>
      <w:r>
        <w:rPr>
          <w:rFonts w:hint="eastAsia"/>
          <w:iCs/>
          <w:szCs w:val="20"/>
        </w:rPr>
        <w:t xml:space="preserve"> for both </w:t>
      </w:r>
      <w:r>
        <w:rPr>
          <w:rFonts w:hint="eastAsia"/>
          <w:szCs w:val="20"/>
        </w:rPr>
        <w:t>RI</w:t>
      </w:r>
      <w:r>
        <w:rPr>
          <w:szCs w:val="20"/>
        </w:rPr>
        <w:t xml:space="preserve"> </w:t>
      </w:r>
      <w:r>
        <w:rPr>
          <w:rFonts w:hint="eastAsia"/>
          <w:szCs w:val="20"/>
        </w:rPr>
        <w:t>=</w:t>
      </w:r>
      <w:r>
        <w:rPr>
          <w:szCs w:val="20"/>
        </w:rPr>
        <w:t xml:space="preserve"> </w:t>
      </w:r>
      <w:r>
        <w:rPr>
          <w:rFonts w:hint="eastAsia"/>
          <w:szCs w:val="20"/>
        </w:rPr>
        <w:t xml:space="preserve">1 </w:t>
      </w:r>
      <w:r>
        <w:rPr>
          <w:rFonts w:hint="eastAsia"/>
          <w:iCs/>
          <w:szCs w:val="20"/>
        </w:rPr>
        <w:t xml:space="preserve">and </w:t>
      </w:r>
      <w:r>
        <w:rPr>
          <w:rFonts w:hint="eastAsia"/>
          <w:szCs w:val="20"/>
        </w:rPr>
        <w:t>R</w:t>
      </w:r>
      <w:r>
        <w:rPr>
          <w:szCs w:val="20"/>
        </w:rPr>
        <w:t xml:space="preserve">I </w:t>
      </w:r>
      <w:r>
        <w:rPr>
          <w:rFonts w:hint="eastAsia"/>
          <w:szCs w:val="20"/>
        </w:rPr>
        <w:t>=</w:t>
      </w:r>
      <w:r>
        <w:rPr>
          <w:szCs w:val="20"/>
        </w:rPr>
        <w:t xml:space="preserve"> </w:t>
      </w:r>
      <w:r>
        <w:rPr>
          <w:rFonts w:hint="eastAsia"/>
          <w:szCs w:val="20"/>
        </w:rPr>
        <w:t>2</w:t>
      </w:r>
      <w:r>
        <w:rPr>
          <w:rFonts w:hint="eastAsia"/>
          <w:iCs/>
          <w:szCs w:val="20"/>
        </w:rPr>
        <w:t>.</w:t>
      </w:r>
    </w:p>
    <w:p w:rsidR="00C42F3E" w:rsidRDefault="00040989">
      <w:r>
        <w:rPr>
          <w:rFonts w:hint="eastAsia"/>
        </w:rPr>
        <w:t>Regarding configuration of the 3-bit scaling factor</w:t>
      </w:r>
      <w:r>
        <w:rPr>
          <w:rFonts w:hint="eastAsia"/>
          <w:i/>
          <w:iCs/>
        </w:rPr>
        <w:t xml:space="preserve"> </w:t>
      </w:r>
      <w:proofErr w:type="spellStart"/>
      <w:r>
        <w:rPr>
          <w:rFonts w:hint="eastAsia"/>
          <w:i/>
          <w:iCs/>
        </w:rPr>
        <w:t>s</w:t>
      </w:r>
      <w:r>
        <w:rPr>
          <w:rFonts w:hint="eastAsia"/>
          <w:i/>
          <w:iCs/>
          <w:vertAlign w:val="subscript"/>
        </w:rPr>
        <w:t>i</w:t>
      </w:r>
      <w:proofErr w:type="spellEnd"/>
      <w:r>
        <w:rPr>
          <w:rFonts w:hint="eastAsia"/>
        </w:rPr>
        <w:t xml:space="preserve">, considering that the physical meaning of </w:t>
      </w:r>
      <w:proofErr w:type="spellStart"/>
      <w:r>
        <w:rPr>
          <w:rFonts w:hint="eastAsia"/>
          <w:i/>
          <w:iCs/>
        </w:rPr>
        <w:t>s</w:t>
      </w:r>
      <w:r>
        <w:rPr>
          <w:rFonts w:hint="eastAsia"/>
          <w:i/>
          <w:iCs/>
          <w:vertAlign w:val="subscript"/>
        </w:rPr>
        <w:t>i</w:t>
      </w:r>
      <w:proofErr w:type="spellEnd"/>
      <w:r>
        <w:rPr>
          <w:rFonts w:hint="eastAsia"/>
        </w:rPr>
        <w:t xml:space="preserve"> is same for RI = 1 and RI = 2, we </w:t>
      </w:r>
      <w:r w:rsidR="00ED6AC1">
        <w:t>did NOT see the</w:t>
      </w:r>
      <w:r>
        <w:t xml:space="preserve"> necessity of</w:t>
      </w:r>
      <w:r>
        <w:rPr>
          <w:rFonts w:hint="eastAsia"/>
        </w:rPr>
        <w:t xml:space="preserve"> RI-specific configuration of </w:t>
      </w:r>
      <w:proofErr w:type="spellStart"/>
      <w:r>
        <w:rPr>
          <w:rFonts w:hint="eastAsia"/>
          <w:i/>
          <w:iCs/>
        </w:rPr>
        <w:t>s</w:t>
      </w:r>
      <w:r>
        <w:rPr>
          <w:rFonts w:hint="eastAsia"/>
          <w:i/>
          <w:iCs/>
          <w:vertAlign w:val="subscript"/>
        </w:rPr>
        <w:t>i</w:t>
      </w:r>
      <w:proofErr w:type="spellEnd"/>
      <w:r>
        <w:rPr>
          <w:rFonts w:hint="eastAsia"/>
        </w:rPr>
        <w:t>. Therefore, we support a common configuration</w:t>
      </w:r>
      <w:r>
        <w:t xml:space="preserve"> of </w:t>
      </w:r>
      <w:proofErr w:type="spellStart"/>
      <w:r>
        <w:rPr>
          <w:rFonts w:hint="eastAsia"/>
          <w:i/>
          <w:iCs/>
        </w:rPr>
        <w:t>s</w:t>
      </w:r>
      <w:r>
        <w:rPr>
          <w:rFonts w:hint="eastAsia"/>
          <w:i/>
          <w:iCs/>
          <w:vertAlign w:val="subscript"/>
        </w:rPr>
        <w:t>i</w:t>
      </w:r>
      <w:proofErr w:type="spellEnd"/>
      <w:r>
        <w:rPr>
          <w:rFonts w:hint="eastAsia"/>
        </w:rPr>
        <w:t xml:space="preserve"> for RI=1 and RI=2.</w:t>
      </w:r>
    </w:p>
    <w:p w:rsidR="00C42F3E" w:rsidRDefault="00040989">
      <w:pPr>
        <w:rPr>
          <w:szCs w:val="20"/>
        </w:rPr>
      </w:pPr>
      <w:r>
        <w:rPr>
          <w:rFonts w:hint="eastAsia"/>
          <w:szCs w:val="20"/>
        </w:rPr>
        <w:t xml:space="preserve">As reflected in pre-RAN1#119 offline discussion, three alternatives of the amplitude scaling formulas are considered. </w:t>
      </w:r>
      <w:r>
        <w:rPr>
          <w:szCs w:val="20"/>
        </w:rPr>
        <w:t xml:space="preserve">Among these alternatives, </w:t>
      </w:r>
      <w:proofErr w:type="spellStart"/>
      <w:r>
        <w:rPr>
          <w:szCs w:val="20"/>
        </w:rPr>
        <w:t>AltA</w:t>
      </w:r>
      <w:proofErr w:type="spellEnd"/>
      <w:r>
        <w:rPr>
          <w:szCs w:val="20"/>
        </w:rPr>
        <w:t xml:space="preserve"> implies that </w:t>
      </w:r>
      <w:proofErr w:type="spellStart"/>
      <w:r>
        <w:rPr>
          <w:rFonts w:hint="eastAsia"/>
          <w:i/>
          <w:iCs/>
        </w:rPr>
        <w:t>s</w:t>
      </w:r>
      <w:r>
        <w:rPr>
          <w:rFonts w:hint="eastAsia"/>
          <w:i/>
          <w:iCs/>
          <w:vertAlign w:val="subscript"/>
        </w:rPr>
        <w:t>i</w:t>
      </w:r>
      <w:proofErr w:type="spellEnd"/>
      <w:r>
        <w:rPr>
          <w:i/>
          <w:iCs/>
        </w:rPr>
        <w:t xml:space="preserve"> </w:t>
      </w:r>
      <w:r>
        <w:rPr>
          <w:iCs/>
        </w:rPr>
        <w:t xml:space="preserve">limits the per-layer transmission power of a beam; </w:t>
      </w:r>
      <w:proofErr w:type="spellStart"/>
      <w:r>
        <w:rPr>
          <w:iCs/>
        </w:rPr>
        <w:t>AltB</w:t>
      </w:r>
      <w:proofErr w:type="spellEnd"/>
      <w:r>
        <w:rPr>
          <w:iCs/>
        </w:rPr>
        <w:t xml:space="preserve"> implies that </w:t>
      </w:r>
      <w:proofErr w:type="spellStart"/>
      <w:r>
        <w:rPr>
          <w:rFonts w:hint="eastAsia"/>
          <w:i/>
          <w:iCs/>
        </w:rPr>
        <w:t>s</w:t>
      </w:r>
      <w:r>
        <w:rPr>
          <w:rFonts w:hint="eastAsia"/>
          <w:i/>
          <w:iCs/>
          <w:vertAlign w:val="subscript"/>
        </w:rPr>
        <w:t>i</w:t>
      </w:r>
      <w:proofErr w:type="spellEnd"/>
      <w:r>
        <w:rPr>
          <w:i/>
          <w:iCs/>
        </w:rPr>
        <w:t xml:space="preserve"> </w:t>
      </w:r>
      <w:r>
        <w:rPr>
          <w:iCs/>
        </w:rPr>
        <w:t xml:space="preserve">limits the total transmission power of a beam across different layers; and </w:t>
      </w:r>
      <w:proofErr w:type="spellStart"/>
      <w:r>
        <w:rPr>
          <w:iCs/>
        </w:rPr>
        <w:t>AltC</w:t>
      </w:r>
      <w:proofErr w:type="spellEnd"/>
      <w:r>
        <w:rPr>
          <w:iCs/>
        </w:rPr>
        <w:t xml:space="preserve"> implies that </w:t>
      </w:r>
      <w:proofErr w:type="spellStart"/>
      <w:r>
        <w:rPr>
          <w:rFonts w:hint="eastAsia"/>
          <w:i/>
          <w:iCs/>
        </w:rPr>
        <w:t>s</w:t>
      </w:r>
      <w:r>
        <w:rPr>
          <w:rFonts w:hint="eastAsia"/>
          <w:i/>
          <w:iCs/>
          <w:vertAlign w:val="subscript"/>
        </w:rPr>
        <w:t>i</w:t>
      </w:r>
      <w:proofErr w:type="spellEnd"/>
      <w:r>
        <w:rPr>
          <w:i/>
          <w:iCs/>
        </w:rPr>
        <w:t xml:space="preserve"> </w:t>
      </w:r>
      <w:r>
        <w:rPr>
          <w:iCs/>
        </w:rPr>
        <w:t xml:space="preserve">limits the total transmission power of a group of beams across different layers. From our perspective, </w:t>
      </w:r>
      <w:proofErr w:type="spellStart"/>
      <w:r>
        <w:rPr>
          <w:iCs/>
        </w:rPr>
        <w:t>AltB</w:t>
      </w:r>
      <w:proofErr w:type="spellEnd"/>
      <w:r>
        <w:rPr>
          <w:iCs/>
        </w:rPr>
        <w:t xml:space="preserve"> is more natural but also more complex, especially considering that a minimization operation may be needed to ensure</w:t>
      </w:r>
      <w:r w:rsidR="00D04F64">
        <w:rPr>
          <w:iCs/>
        </w:rPr>
        <w:t xml:space="preserve"> that</w:t>
      </w:r>
      <w:r>
        <w:rPr>
          <w:iCs/>
        </w:rPr>
        <w:t xml:space="preserve"> the per-layer transmission power does not exceed the maximum allowed value. Consequently, </w:t>
      </w:r>
      <w:proofErr w:type="spellStart"/>
      <w:r>
        <w:rPr>
          <w:iCs/>
        </w:rPr>
        <w:t>AltA</w:t>
      </w:r>
      <w:proofErr w:type="spellEnd"/>
      <w:r>
        <w:rPr>
          <w:iCs/>
        </w:rPr>
        <w:t xml:space="preserve"> is </w:t>
      </w:r>
      <w:r w:rsidR="00D04F64">
        <w:rPr>
          <w:iCs/>
        </w:rPr>
        <w:t xml:space="preserve">slightly </w:t>
      </w:r>
      <w:r>
        <w:rPr>
          <w:iCs/>
        </w:rPr>
        <w:t>preferred due to the simplicity.</w:t>
      </w:r>
    </w:p>
    <w:p w:rsidR="00C42F3E" w:rsidRDefault="00040989">
      <w:pPr>
        <w:rPr>
          <w:i/>
          <w:iCs/>
        </w:rPr>
      </w:pPr>
      <w:r>
        <w:rPr>
          <w:rFonts w:hint="eastAsia"/>
          <w:b/>
          <w:bCs/>
          <w:i/>
          <w:iCs/>
        </w:rPr>
        <w:t xml:space="preserve">Proposal </w:t>
      </w:r>
      <w:r>
        <w:rPr>
          <w:b/>
          <w:bCs/>
          <w:i/>
          <w:iCs/>
        </w:rPr>
        <w:t>1</w:t>
      </w:r>
      <w:r>
        <w:rPr>
          <w:rFonts w:hint="eastAsia"/>
          <w:b/>
          <w:bCs/>
          <w:i/>
          <w:iCs/>
        </w:rPr>
        <w:t xml:space="preserve">: </w:t>
      </w:r>
      <w:r>
        <w:rPr>
          <w:rFonts w:eastAsia="Batang"/>
          <w:i/>
          <w:iCs/>
          <w:lang w:val="en-GB" w:eastAsia="en-US"/>
        </w:rPr>
        <w:t>For the Rel-19 Type-I SP codebook refinement for 48, 64, and 128 CSI-RS ports, regarding per-layer scaling factor applied to each of the selected SD basis vectors associated with RI=v</w:t>
      </w:r>
      <m:oMath>
        <m:r>
          <w:rPr>
            <w:rFonts w:ascii="Cambria Math" w:eastAsia="Batang" w:hAnsi="Cambria Math"/>
            <w:lang w:val="en-GB" w:eastAsia="en-US"/>
          </w:rPr>
          <m:t>∈</m:t>
        </m:r>
      </m:oMath>
      <w:r>
        <w:rPr>
          <w:rFonts w:eastAsia="Batang"/>
          <w:i/>
          <w:iCs/>
          <w:lang w:val="en-GB" w:eastAsia="en-US"/>
        </w:rPr>
        <w:t>{2} for the 3-bit scaling factor(s)</w:t>
      </w:r>
      <w:r w:rsidR="00961647">
        <w:rPr>
          <w:rFonts w:eastAsia="Batang"/>
          <w:i/>
          <w:iCs/>
          <w:lang w:val="en-GB" w:eastAsia="en-US"/>
        </w:rPr>
        <w:t>.</w:t>
      </w:r>
    </w:p>
    <w:p w:rsidR="00C42F3E" w:rsidRDefault="00040989">
      <w:pPr>
        <w:pStyle w:val="aff2"/>
        <w:numPr>
          <w:ilvl w:val="0"/>
          <w:numId w:val="12"/>
        </w:numPr>
        <w:ind w:firstLineChars="0"/>
        <w:rPr>
          <w:i/>
        </w:rPr>
      </w:pPr>
      <w:r>
        <w:rPr>
          <w:rFonts w:hint="eastAsia"/>
          <w:i/>
        </w:rPr>
        <w:t>S</w:t>
      </w:r>
      <w:r>
        <w:rPr>
          <w:i/>
        </w:rPr>
        <w:t xml:space="preserve">upport reusing legacy normalization coefficient, i.e., </w:t>
      </w:r>
      <m:oMath>
        <m:f>
          <m:fPr>
            <m:ctrlPr>
              <w:rPr>
                <w:rFonts w:ascii="Cambria Math" w:hAnsi="Cambria Math" w:hint="eastAsia"/>
                <w:i/>
              </w:rPr>
            </m:ctrlPr>
          </m:fPr>
          <m:num>
            <m:r>
              <w:rPr>
                <w:rFonts w:ascii="Cambria Math" w:hAnsi="Cambria Math" w:hint="eastAsia"/>
              </w:rPr>
              <m:t>1</m:t>
            </m:r>
          </m:num>
          <m:den>
            <m:rad>
              <m:radPr>
                <m:degHide m:val="1"/>
                <m:ctrlPr>
                  <w:rPr>
                    <w:rFonts w:ascii="Cambria Math" w:hAnsi="Cambria Math" w:hint="eastAsia"/>
                    <w:i/>
                  </w:rPr>
                </m:ctrlPr>
              </m:radPr>
              <m:deg/>
              <m:e>
                <m:r>
                  <w:rPr>
                    <w:rFonts w:ascii="Cambria Math" w:hAnsi="Cambria Math"/>
                  </w:rPr>
                  <m:t>2</m:t>
                </m:r>
                <m:sSub>
                  <m:sSubPr>
                    <m:ctrlPr>
                      <w:rPr>
                        <w:rFonts w:ascii="Cambria Math" w:hAnsi="Cambria Math" w:hint="eastAsia"/>
                        <w:i/>
                      </w:rPr>
                    </m:ctrlPr>
                  </m:sSubPr>
                  <m:e>
                    <m:r>
                      <w:rPr>
                        <w:rFonts w:ascii="Cambria Math" w:hAnsi="Cambria Math" w:hint="eastAsia"/>
                      </w:rPr>
                      <m:t>P</m:t>
                    </m:r>
                  </m:e>
                  <m:sub>
                    <m:r>
                      <w:rPr>
                        <w:rFonts w:ascii="Cambria Math" w:hAnsi="Cambria Math" w:hint="eastAsia"/>
                      </w:rPr>
                      <m:t>CSI</m:t>
                    </m:r>
                    <m:r>
                      <w:rPr>
                        <w:rFonts w:ascii="Cambria Math" w:hAnsi="Cambria Math" w:hint="eastAsia"/>
                      </w:rPr>
                      <m:t>-</m:t>
                    </m:r>
                    <m:r>
                      <w:rPr>
                        <w:rFonts w:ascii="Cambria Math" w:hAnsi="Cambria Math" w:hint="eastAsia"/>
                      </w:rPr>
                      <m:t>RS</m:t>
                    </m:r>
                  </m:sub>
                </m:sSub>
              </m:e>
            </m:rad>
          </m:den>
        </m:f>
      </m:oMath>
      <w:r>
        <w:rPr>
          <w:rFonts w:hint="eastAsia"/>
          <w:i/>
        </w:rPr>
        <w:t>,</w:t>
      </w:r>
      <w:r>
        <w:rPr>
          <w:i/>
        </w:rPr>
        <w:t xml:space="preserve"> where </w:t>
      </w:r>
      <w:r>
        <w:rPr>
          <w:rFonts w:hint="eastAsia"/>
          <w:i/>
        </w:rPr>
        <w:t>P</w:t>
      </w:r>
      <w:r>
        <w:rPr>
          <w:rFonts w:hint="eastAsia"/>
          <w:i/>
          <w:vertAlign w:val="subscript"/>
        </w:rPr>
        <w:t>CSI</w:t>
      </w:r>
      <w:r>
        <w:rPr>
          <w:rFonts w:hint="eastAsia"/>
          <w:i/>
          <w:vertAlign w:val="subscript"/>
        </w:rPr>
        <w:t>−</w:t>
      </w:r>
      <w:r>
        <w:rPr>
          <w:rFonts w:hint="eastAsia"/>
          <w:i/>
          <w:vertAlign w:val="subscript"/>
        </w:rPr>
        <w:t>RS</w:t>
      </w:r>
      <w:r>
        <w:rPr>
          <w:rFonts w:hint="eastAsia"/>
          <w:i/>
        </w:rPr>
        <w:t xml:space="preserve"> is the total number of CSI-RS ports</w:t>
      </w:r>
    </w:p>
    <w:p w:rsidR="00C42F3E" w:rsidRDefault="00040989">
      <w:pPr>
        <w:pStyle w:val="aff2"/>
        <w:numPr>
          <w:ilvl w:val="0"/>
          <w:numId w:val="12"/>
        </w:numPr>
        <w:ind w:firstLineChars="0"/>
        <w:rPr>
          <w:i/>
        </w:rPr>
      </w:pPr>
      <w:r>
        <w:rPr>
          <w:rFonts w:hint="eastAsia"/>
          <w:i/>
        </w:rPr>
        <w:t>S</w:t>
      </w:r>
      <w:r>
        <w:rPr>
          <w:i/>
        </w:rPr>
        <w:t xml:space="preserve">upport RI-common configuration of the 3-bit scaling factor </w:t>
      </w:r>
      <w:proofErr w:type="spellStart"/>
      <w:r>
        <w:rPr>
          <w:rFonts w:hint="eastAsia"/>
          <w:i/>
          <w:iCs/>
        </w:rPr>
        <w:t>s</w:t>
      </w:r>
      <w:r>
        <w:rPr>
          <w:rFonts w:hint="eastAsia"/>
          <w:i/>
          <w:iCs/>
          <w:vertAlign w:val="subscript"/>
        </w:rPr>
        <w:t>i</w:t>
      </w:r>
      <w:proofErr w:type="spellEnd"/>
      <w:r>
        <w:rPr>
          <w:i/>
          <w:iCs/>
        </w:rPr>
        <w:t>.</w:t>
      </w:r>
    </w:p>
    <w:p w:rsidR="00C42F3E" w:rsidRDefault="00040989">
      <w:pPr>
        <w:pStyle w:val="aff2"/>
        <w:numPr>
          <w:ilvl w:val="0"/>
          <w:numId w:val="12"/>
        </w:numPr>
        <w:ind w:firstLineChars="0"/>
        <w:rPr>
          <w:i/>
        </w:rPr>
      </w:pPr>
      <w:r>
        <w:rPr>
          <w:rFonts w:hint="eastAsia"/>
          <w:i/>
        </w:rPr>
        <w:t xml:space="preserve">Support </w:t>
      </w:r>
      <w:proofErr w:type="spellStart"/>
      <w:r>
        <w:rPr>
          <w:rFonts w:hint="eastAsia"/>
          <w:i/>
        </w:rPr>
        <w:t>Alt</w:t>
      </w:r>
      <w:r>
        <w:rPr>
          <w:i/>
        </w:rPr>
        <w:t>A</w:t>
      </w:r>
      <w:proofErr w:type="spellEnd"/>
      <w:r>
        <w:rPr>
          <w:i/>
        </w:rPr>
        <w:t xml:space="preserve">, i.e., the per-layer amplitude scaling coefficient is </w:t>
      </w:r>
      <w:proofErr w:type="spellStart"/>
      <w:r>
        <w:rPr>
          <w:rFonts w:hint="eastAsia"/>
          <w:i/>
          <w:iCs/>
        </w:rPr>
        <w:t>s</w:t>
      </w:r>
      <w:r>
        <w:rPr>
          <w:rFonts w:hint="eastAsia"/>
          <w:i/>
          <w:iCs/>
          <w:vertAlign w:val="subscript"/>
        </w:rPr>
        <w:t>i</w:t>
      </w:r>
      <w:proofErr w:type="spellEnd"/>
      <w:r>
        <w:rPr>
          <w:rFonts w:hint="eastAsia"/>
          <w:i/>
        </w:rPr>
        <w:t>.</w:t>
      </w:r>
    </w:p>
    <w:p w:rsidR="00C42F3E" w:rsidRDefault="00040989">
      <w:pPr>
        <w:pStyle w:val="aff2"/>
        <w:numPr>
          <w:ilvl w:val="2"/>
          <w:numId w:val="8"/>
        </w:numPr>
        <w:snapToGrid w:val="0"/>
        <w:spacing w:beforeLines="30" w:before="72" w:afterLines="30" w:after="72" w:line="300" w:lineRule="auto"/>
        <w:ind w:firstLineChars="0"/>
        <w:textAlignment w:val="center"/>
        <w:outlineLvl w:val="2"/>
        <w:rPr>
          <w:b/>
          <w:bCs/>
          <w:sz w:val="21"/>
          <w:szCs w:val="21"/>
        </w:rPr>
      </w:pPr>
      <w:r>
        <w:rPr>
          <w:b/>
          <w:bCs/>
          <w:sz w:val="21"/>
          <w:szCs w:val="21"/>
        </w:rPr>
        <w:t xml:space="preserve">Type-I SP </w:t>
      </w:r>
      <w:r>
        <w:rPr>
          <w:rFonts w:hint="eastAsia"/>
          <w:b/>
          <w:bCs/>
          <w:sz w:val="21"/>
          <w:szCs w:val="21"/>
        </w:rPr>
        <w:t xml:space="preserve">codebook for </w:t>
      </w:r>
      <m:oMath>
        <m:sSub>
          <m:sSubPr>
            <m:ctrlPr>
              <w:rPr>
                <w:rFonts w:ascii="Cambria Math" w:hAnsi="Cambria Math"/>
                <w:b/>
                <w:i/>
                <w:sz w:val="21"/>
                <w:szCs w:val="21"/>
              </w:rPr>
            </m:ctrlPr>
          </m:sSubPr>
          <m:e>
            <m:r>
              <m:rPr>
                <m:sty m:val="bi"/>
              </m:rPr>
              <w:rPr>
                <w:rFonts w:ascii="Cambria Math" w:hAnsi="Cambria Math"/>
                <w:sz w:val="21"/>
                <w:szCs w:val="21"/>
              </w:rPr>
              <m:t>P</m:t>
            </m:r>
          </m:e>
          <m:sub>
            <m:r>
              <m:rPr>
                <m:sty m:val="b"/>
              </m:rPr>
              <w:rPr>
                <w:rFonts w:ascii="Cambria Math" w:hAnsi="Cambria Math"/>
                <w:sz w:val="21"/>
                <w:szCs w:val="21"/>
              </w:rPr>
              <m:t>CSI-RS</m:t>
            </m:r>
          </m:sub>
        </m:sSub>
        <m:r>
          <m:rPr>
            <m:sty m:val="bi"/>
          </m:rPr>
          <w:rPr>
            <w:rFonts w:ascii="Cambria Math" w:hAnsi="Cambria Math"/>
            <w:sz w:val="21"/>
            <w:szCs w:val="21"/>
          </w:rPr>
          <m:t>≤32</m:t>
        </m:r>
      </m:oMath>
    </w:p>
    <w:p w:rsidR="00C42F3E" w:rsidRDefault="00040989">
      <w:pPr>
        <w:rPr>
          <w:b/>
          <w:bCs/>
          <w:sz w:val="21"/>
          <w:szCs w:val="21"/>
        </w:rPr>
      </w:pPr>
      <w:r>
        <w:rPr>
          <w:rFonts w:hint="eastAsia"/>
        </w:rPr>
        <w:t>R</w:t>
      </w:r>
      <w:r>
        <w:t xml:space="preserve">egarding </w:t>
      </w:r>
      <w:r>
        <w:rPr>
          <w:rFonts w:hint="eastAsia"/>
        </w:rPr>
        <w:t xml:space="preserve">extension of </w:t>
      </w:r>
      <w:r>
        <w:rPr>
          <w:rFonts w:eastAsia="Batang"/>
          <w:iCs/>
          <w:szCs w:val="20"/>
          <w:lang w:val="en-GB" w:eastAsia="en-US"/>
        </w:rPr>
        <w:t>Rel-19 Type-I single-panel (SP) for ≤32 CSI-RS ports</w:t>
      </w:r>
      <w:r>
        <w:t xml:space="preserve">, </w:t>
      </w:r>
      <w:r>
        <w:rPr>
          <w:bCs/>
          <w:iCs/>
          <w:kern w:val="2"/>
          <w:szCs w:val="20"/>
        </w:rPr>
        <w:t xml:space="preserve">the following proposal </w:t>
      </w:r>
      <w:r>
        <w:rPr>
          <w:rFonts w:hint="eastAsia"/>
          <w:bCs/>
          <w:iCs/>
          <w:kern w:val="2"/>
          <w:szCs w:val="20"/>
        </w:rPr>
        <w:t>was</w:t>
      </w:r>
      <w:r>
        <w:rPr>
          <w:bCs/>
          <w:iCs/>
          <w:kern w:val="2"/>
          <w:szCs w:val="20"/>
        </w:rPr>
        <w:t xml:space="preserve"> discussed in pre-RAN1</w:t>
      </w:r>
      <w:r>
        <w:rPr>
          <w:rFonts w:hint="eastAsia"/>
          <w:bCs/>
          <w:iCs/>
          <w:kern w:val="2"/>
          <w:szCs w:val="20"/>
        </w:rPr>
        <w:t>#</w:t>
      </w:r>
      <w:r>
        <w:rPr>
          <w:bCs/>
          <w:iCs/>
          <w:kern w:val="2"/>
          <w:szCs w:val="20"/>
        </w:rPr>
        <w:t>11</w:t>
      </w:r>
      <w:r>
        <w:rPr>
          <w:rFonts w:hint="eastAsia"/>
          <w:bCs/>
          <w:iCs/>
          <w:kern w:val="2"/>
          <w:szCs w:val="20"/>
        </w:rPr>
        <w:t>9</w:t>
      </w:r>
      <w:r>
        <w:rPr>
          <w:bCs/>
          <w:iCs/>
          <w:kern w:val="2"/>
          <w:szCs w:val="20"/>
        </w:rPr>
        <w:t xml:space="preserve"> offline discussion</w:t>
      </w:r>
      <w:r>
        <w:rPr>
          <w:rFonts w:hint="eastAsia"/>
          <w:bCs/>
          <w:iCs/>
          <w:kern w:val="2"/>
          <w:szCs w:val="20"/>
        </w:rPr>
        <w:t>.</w:t>
      </w:r>
    </w:p>
    <w:tbl>
      <w:tblPr>
        <w:tblStyle w:val="af9"/>
        <w:tblW w:w="0" w:type="auto"/>
        <w:tblLook w:val="04A0" w:firstRow="1" w:lastRow="0" w:firstColumn="1" w:lastColumn="0" w:noHBand="0" w:noVBand="1"/>
      </w:tblPr>
      <w:tblGrid>
        <w:gridCol w:w="9350"/>
      </w:tblGrid>
      <w:tr w:rsidR="00C42F3E">
        <w:tc>
          <w:tcPr>
            <w:tcW w:w="9350" w:type="dxa"/>
          </w:tcPr>
          <w:p w:rsidR="00C42F3E" w:rsidRDefault="00040989" w:rsidP="00A22029">
            <w:pPr>
              <w:spacing w:before="0" w:after="0"/>
              <w:rPr>
                <w:szCs w:val="20"/>
                <w:lang w:val="en-GB" w:eastAsia="en-US"/>
              </w:rPr>
            </w:pPr>
            <w:r>
              <w:rPr>
                <w:rFonts w:eastAsia="Batang"/>
                <w:b/>
                <w:szCs w:val="20"/>
                <w:u w:val="single"/>
                <w:lang w:val="en-GB" w:eastAsia="en-US"/>
              </w:rPr>
              <w:t>Proposal 1.</w:t>
            </w:r>
            <w:r>
              <w:rPr>
                <w:b/>
                <w:szCs w:val="20"/>
                <w:u w:val="single"/>
              </w:rPr>
              <w:t xml:space="preserve">E </w:t>
            </w:r>
            <w:r>
              <w:rPr>
                <w:rFonts w:eastAsiaTheme="minorEastAsia"/>
                <w:b/>
                <w:szCs w:val="20"/>
                <w:u w:val="single"/>
                <w:lang w:val="en-GB"/>
              </w:rPr>
              <w:t>(pre-RAN1#11</w:t>
            </w:r>
            <w:r>
              <w:rPr>
                <w:rFonts w:eastAsiaTheme="minorEastAsia"/>
                <w:b/>
                <w:szCs w:val="20"/>
                <w:u w:val="single"/>
              </w:rPr>
              <w:t>9</w:t>
            </w:r>
            <w:r>
              <w:rPr>
                <w:rFonts w:eastAsiaTheme="minorEastAsia"/>
                <w:b/>
                <w:szCs w:val="20"/>
                <w:u w:val="single"/>
                <w:lang w:val="en-GB"/>
              </w:rPr>
              <w:t>)</w:t>
            </w:r>
            <w:r>
              <w:rPr>
                <w:rFonts w:eastAsia="Batang"/>
                <w:szCs w:val="20"/>
                <w:lang w:val="en-GB" w:eastAsia="en-US"/>
              </w:rPr>
              <w:t xml:space="preserve"> </w:t>
            </w:r>
          </w:p>
          <w:p w:rsidR="00C42F3E" w:rsidRDefault="00040989" w:rsidP="00A22029">
            <w:pPr>
              <w:widowControl w:val="0"/>
              <w:snapToGrid w:val="0"/>
              <w:spacing w:before="0" w:after="0"/>
              <w:jc w:val="left"/>
              <w:rPr>
                <w:rFonts w:eastAsia="Batang"/>
                <w:iCs/>
                <w:szCs w:val="20"/>
                <w:lang w:val="en-GB" w:eastAsia="en-US"/>
              </w:rPr>
            </w:pPr>
            <w:r>
              <w:rPr>
                <w:rFonts w:eastAsia="Batang"/>
                <w:szCs w:val="20"/>
                <w:lang w:val="en-GB" w:eastAsia="en-US"/>
              </w:rPr>
              <w:t xml:space="preserve">For the </w:t>
            </w:r>
            <w:r>
              <w:rPr>
                <w:rFonts w:eastAsia="Batang"/>
                <w:iCs/>
                <w:szCs w:val="20"/>
                <w:lang w:val="en-GB" w:eastAsia="en-US"/>
              </w:rPr>
              <w:t>Rel-19 Type-I SP codebook refinement for 48, 64, and 128 CSI-RS ports, extend the agreed Scheme-A and Scheme-B to 16, 24, and 32 CSI-RS ports, for all applicable RI values (1, …, min(P</w:t>
            </w:r>
            <w:r>
              <w:rPr>
                <w:rFonts w:eastAsia="Batang"/>
                <w:iCs/>
                <w:szCs w:val="20"/>
                <w:vertAlign w:val="subscript"/>
                <w:lang w:val="en-GB" w:eastAsia="en-US"/>
              </w:rPr>
              <w:t>CSI-RS</w:t>
            </w:r>
            <w:r>
              <w:rPr>
                <w:rFonts w:eastAsia="Batang"/>
                <w:iCs/>
                <w:szCs w:val="20"/>
                <w:lang w:val="en-GB" w:eastAsia="en-US"/>
              </w:rPr>
              <w:t>,8)) with K=1 only, and without any further modification/enhancement of the sub-features pertinent to the Rel-19 Type-I SP design (including, e.g. the Rel-19 Type-I SP CBSR, soft scaling, 2</w:t>
            </w:r>
            <w:r>
              <w:rPr>
                <w:rFonts w:eastAsia="Batang"/>
                <w:iCs/>
                <w:szCs w:val="20"/>
                <w:vertAlign w:val="superscript"/>
                <w:lang w:val="en-GB" w:eastAsia="en-US"/>
              </w:rPr>
              <w:t>nd</w:t>
            </w:r>
            <w:r>
              <w:rPr>
                <w:rFonts w:eastAsia="Batang"/>
                <w:iCs/>
                <w:szCs w:val="20"/>
                <w:lang w:val="en-GB" w:eastAsia="en-US"/>
              </w:rPr>
              <w:t xml:space="preserve"> SD basis vector for Scheme-A RI=3-4).</w:t>
            </w:r>
          </w:p>
          <w:p w:rsidR="00C42F3E" w:rsidRDefault="00040989" w:rsidP="00A22029">
            <w:pPr>
              <w:numPr>
                <w:ilvl w:val="0"/>
                <w:numId w:val="13"/>
              </w:numPr>
              <w:snapToGrid w:val="0"/>
              <w:spacing w:before="0" w:after="0"/>
              <w:ind w:left="726" w:hanging="363"/>
              <w:jc w:val="left"/>
              <w:rPr>
                <w:rFonts w:ascii="Times" w:hAnsi="Times"/>
                <w:szCs w:val="20"/>
                <w:lang w:val="en-GB" w:eastAsia="en-US"/>
              </w:rPr>
            </w:pPr>
            <w:r>
              <w:rPr>
                <w:rFonts w:eastAsia="Batang"/>
                <w:iCs/>
                <w:szCs w:val="20"/>
                <w:lang w:val="en-GB" w:eastAsia="en-US"/>
              </w:rPr>
              <w:t>For the Rel-19 Type-I SP codebook, the support for ≤32ports is a separate UE capability from the support for the previously agreed number of ports (48, 64, 128 ports)</w:t>
            </w:r>
          </w:p>
        </w:tc>
      </w:tr>
    </w:tbl>
    <w:p w:rsidR="00C42F3E" w:rsidRDefault="00040989">
      <w:r>
        <w:rPr>
          <w:rFonts w:hint="eastAsia"/>
        </w:rPr>
        <w:t xml:space="preserve">In current specification, the </w:t>
      </w:r>
      <w:r>
        <w:t>Rel-15</w:t>
      </w:r>
      <w:r w:rsidR="00E7647D">
        <w:t xml:space="preserve"> SP</w:t>
      </w:r>
      <w:r>
        <w:rPr>
          <w:rFonts w:hint="eastAsia"/>
        </w:rPr>
        <w:t xml:space="preserve"> Type-I codebook with </w:t>
      </w:r>
      <w:r>
        <w:rPr>
          <w:rFonts w:eastAsia="Batang"/>
          <w:iCs/>
          <w:szCs w:val="20"/>
          <w:lang w:val="en-GB" w:eastAsia="en-US"/>
        </w:rPr>
        <w:t>rank-3/4</w:t>
      </w:r>
      <w:r>
        <w:rPr>
          <w:rFonts w:hint="eastAsia"/>
        </w:rPr>
        <w:t xml:space="preserve"> has two </w:t>
      </w:r>
      <w:r>
        <w:t xml:space="preserve">respective </w:t>
      </w:r>
      <w:r>
        <w:rPr>
          <w:rFonts w:hint="eastAsia"/>
        </w:rPr>
        <w:t xml:space="preserve">modes </w:t>
      </w:r>
      <w:r>
        <w:t>for</w:t>
      </w:r>
      <w:r>
        <w:rPr>
          <w:rFonts w:hint="eastAsia"/>
        </w:rPr>
        <w:t xml:space="preserve"> P</w:t>
      </w:r>
      <w:r>
        <w:rPr>
          <w:vertAlign w:val="subscript"/>
        </w:rPr>
        <w:t>CSI-RS</w:t>
      </w:r>
      <w:r>
        <w:rPr>
          <w:rFonts w:hint="eastAsia"/>
        </w:rPr>
        <w:t>&lt;16 and P</w:t>
      </w:r>
      <w:r>
        <w:rPr>
          <w:vertAlign w:val="subscript"/>
        </w:rPr>
        <w:t>CSI-RS</w:t>
      </w:r>
      <w:r>
        <w:rPr>
          <w:rFonts w:hint="eastAsia"/>
        </w:rPr>
        <w:t>≥</w:t>
      </w:r>
      <w:r>
        <w:rPr>
          <w:rFonts w:hint="eastAsia"/>
        </w:rPr>
        <w:t xml:space="preserve">16. </w:t>
      </w:r>
      <w:r>
        <w:t>In case</w:t>
      </w:r>
      <w:r>
        <w:rPr>
          <w:rFonts w:hint="eastAsia"/>
        </w:rPr>
        <w:t xml:space="preserve"> Rel-19 Type-I SP</w:t>
      </w:r>
      <w:r w:rsidR="00E7647D">
        <w:t xml:space="preserve"> Type-I codebook</w:t>
      </w:r>
      <w:r>
        <w:rPr>
          <w:rFonts w:hint="eastAsia"/>
        </w:rPr>
        <w:t xml:space="preserve"> is</w:t>
      </w:r>
      <w:r>
        <w:t xml:space="preserve"> </w:t>
      </w:r>
      <w:r>
        <w:rPr>
          <w:rFonts w:hint="eastAsia"/>
        </w:rPr>
        <w:t xml:space="preserve">NOT extended to &lt;=32 ports, the codebook structure could be different for </w:t>
      </w:r>
      <w:r w:rsidR="009C1364">
        <w:rPr>
          <w:rFonts w:hint="eastAsia"/>
        </w:rPr>
        <w:t>P</w:t>
      </w:r>
      <w:r w:rsidR="009C1364">
        <w:rPr>
          <w:vertAlign w:val="subscript"/>
        </w:rPr>
        <w:t>CSI-RS</w:t>
      </w:r>
      <w:r w:rsidR="009C1364" w:rsidDel="009C1364">
        <w:rPr>
          <w:rFonts w:hint="eastAsia"/>
        </w:rPr>
        <w:t xml:space="preserve"> </w:t>
      </w:r>
      <w:r>
        <w:rPr>
          <w:rFonts w:hint="eastAsia"/>
        </w:rPr>
        <w:t>&lt;16, 16&lt;=</w:t>
      </w:r>
      <w:r w:rsidR="009C1364" w:rsidRPr="009C1364">
        <w:rPr>
          <w:rFonts w:hint="eastAsia"/>
        </w:rPr>
        <w:t xml:space="preserve"> </w:t>
      </w:r>
      <w:r w:rsidR="009C1364">
        <w:rPr>
          <w:rFonts w:hint="eastAsia"/>
        </w:rPr>
        <w:t>P</w:t>
      </w:r>
      <w:r w:rsidR="009C1364">
        <w:rPr>
          <w:vertAlign w:val="subscript"/>
        </w:rPr>
        <w:t>CSI-RS</w:t>
      </w:r>
      <w:r w:rsidR="009C1364" w:rsidDel="009C1364">
        <w:rPr>
          <w:rFonts w:hint="eastAsia"/>
        </w:rPr>
        <w:t xml:space="preserve"> </w:t>
      </w:r>
      <w:r>
        <w:rPr>
          <w:rFonts w:hint="eastAsia"/>
        </w:rPr>
        <w:t xml:space="preserve">&lt;=32, and </w:t>
      </w:r>
      <w:r w:rsidR="009C1364">
        <w:rPr>
          <w:rFonts w:hint="eastAsia"/>
        </w:rPr>
        <w:t>P</w:t>
      </w:r>
      <w:r w:rsidR="009C1364">
        <w:rPr>
          <w:vertAlign w:val="subscript"/>
        </w:rPr>
        <w:t>CSI-RS</w:t>
      </w:r>
      <w:r w:rsidR="009C1364" w:rsidDel="009C1364">
        <w:rPr>
          <w:rFonts w:hint="eastAsia"/>
        </w:rPr>
        <w:t xml:space="preserve"> </w:t>
      </w:r>
      <w:r>
        <w:rPr>
          <w:rFonts w:hint="eastAsia"/>
        </w:rPr>
        <w:t xml:space="preserve">&gt;32. </w:t>
      </w:r>
      <w:r>
        <w:t xml:space="preserve">To unify the </w:t>
      </w:r>
      <w:r w:rsidR="00E7647D">
        <w:t>codebook structure</w:t>
      </w:r>
      <w:r>
        <w:rPr>
          <w:rFonts w:hint="eastAsia"/>
        </w:rPr>
        <w:t xml:space="preserve"> for </w:t>
      </w:r>
      <w:r>
        <w:rPr>
          <w:rFonts w:eastAsia="Batang"/>
          <w:iCs/>
          <w:szCs w:val="20"/>
          <w:lang w:val="en-GB" w:eastAsia="en-US"/>
        </w:rPr>
        <w:t>rank-3/4</w:t>
      </w:r>
      <w:r>
        <w:t>, we propose </w:t>
      </w:r>
      <w:r w:rsidR="00E7647D">
        <w:t xml:space="preserve">extending </w:t>
      </w:r>
      <w:r>
        <w:rPr>
          <w:rFonts w:hint="eastAsia"/>
        </w:rPr>
        <w:t>R</w:t>
      </w:r>
      <w:r w:rsidR="00E7647D">
        <w:t>el-</w:t>
      </w:r>
      <w:r>
        <w:rPr>
          <w:rFonts w:hint="eastAsia"/>
        </w:rPr>
        <w:t>19</w:t>
      </w:r>
      <w:r w:rsidR="00E7647D">
        <w:t xml:space="preserve"> SP</w:t>
      </w:r>
      <w:r>
        <w:rPr>
          <w:rFonts w:hint="eastAsia"/>
        </w:rPr>
        <w:t xml:space="preserve"> Type-I codebook </w:t>
      </w:r>
      <w:r w:rsidR="00E7647D">
        <w:t>to</w:t>
      </w:r>
      <w:r>
        <w:t xml:space="preserve"> P</w:t>
      </w:r>
      <w:r>
        <w:rPr>
          <w:vertAlign w:val="subscript"/>
        </w:rPr>
        <w:t>CSI-RS</w:t>
      </w:r>
      <w:r>
        <w:rPr>
          <w:rFonts w:hint="eastAsia"/>
        </w:rPr>
        <w:t>≤</w:t>
      </w:r>
      <w:r>
        <w:t xml:space="preserve">32. </w:t>
      </w:r>
      <w:r>
        <w:rPr>
          <w:rFonts w:hint="eastAsia"/>
        </w:rPr>
        <w:t xml:space="preserve">Moreover, extending Rel-19 Type-I SP to </w:t>
      </w:r>
      <w:r w:rsidR="00E7647D">
        <w:rPr>
          <w:rFonts w:hint="eastAsia"/>
        </w:rPr>
        <w:t>P</w:t>
      </w:r>
      <w:r w:rsidR="00E7647D">
        <w:rPr>
          <w:vertAlign w:val="subscript"/>
        </w:rPr>
        <w:t>CSI-RS</w:t>
      </w:r>
      <w:r w:rsidR="00E7647D" w:rsidDel="00E7647D">
        <w:rPr>
          <w:rFonts w:hint="eastAsia"/>
        </w:rPr>
        <w:t xml:space="preserve"> </w:t>
      </w:r>
      <w:r>
        <w:rPr>
          <w:rFonts w:hint="eastAsia"/>
        </w:rPr>
        <w:t xml:space="preserve">&lt;=32 ports </w:t>
      </w:r>
      <w:r w:rsidR="00D62EF3">
        <w:rPr>
          <w:rFonts w:hint="eastAsia"/>
        </w:rPr>
        <w:t>does</w:t>
      </w:r>
      <w:r w:rsidR="00D62EF3">
        <w:t xml:space="preserve"> NOT</w:t>
      </w:r>
      <w:r w:rsidR="00D62EF3">
        <w:rPr>
          <w:rFonts w:hint="eastAsia"/>
        </w:rPr>
        <w:t xml:space="preserve"> </w:t>
      </w:r>
      <w:r>
        <w:rPr>
          <w:rFonts w:hint="eastAsia"/>
        </w:rPr>
        <w:t>increase additional UE complexity.</w:t>
      </w:r>
    </w:p>
    <w:p w:rsidR="00C42F3E" w:rsidRDefault="00E7647D">
      <w:r>
        <w:t xml:space="preserve">Besides, </w:t>
      </w:r>
      <w:r w:rsidR="00040989">
        <w:t xml:space="preserve">in Figure 1, </w:t>
      </w:r>
      <w:r>
        <w:t xml:space="preserve">the </w:t>
      </w:r>
      <w:r w:rsidR="00040989">
        <w:t xml:space="preserve">SLS results </w:t>
      </w:r>
      <w:r>
        <w:t xml:space="preserve">suggest </w:t>
      </w:r>
      <w:r w:rsidR="00040989">
        <w:t xml:space="preserve">that </w:t>
      </w:r>
      <w:r w:rsidR="00040989">
        <w:rPr>
          <w:rFonts w:hint="eastAsia"/>
        </w:rPr>
        <w:t>R</w:t>
      </w:r>
      <w:r>
        <w:t>el-</w:t>
      </w:r>
      <w:r w:rsidR="00040989">
        <w:rPr>
          <w:rFonts w:hint="eastAsia"/>
        </w:rPr>
        <w:t>19 Type-I codebook</w:t>
      </w:r>
      <w:r w:rsidR="00D62EF3">
        <w:t xml:space="preserve"> </w:t>
      </w:r>
      <w:r w:rsidR="00D62EF3">
        <w:rPr>
          <w:rFonts w:hint="eastAsia"/>
        </w:rPr>
        <w:t>(Scheme-A)</w:t>
      </w:r>
      <w:r w:rsidR="00040989">
        <w:rPr>
          <w:rFonts w:hint="eastAsia"/>
        </w:rPr>
        <w:t xml:space="preserve"> </w:t>
      </w:r>
      <w:r w:rsidR="00040989">
        <w:rPr>
          <w:rFonts w:hint="eastAsia"/>
          <w:szCs w:val="24"/>
        </w:rPr>
        <w:t xml:space="preserve">for </w:t>
      </w:r>
      <w:r w:rsidR="00040989">
        <w:rPr>
          <w:rFonts w:eastAsia="Batang"/>
          <w:iCs/>
          <w:szCs w:val="20"/>
          <w:lang w:val="en-GB" w:eastAsia="en-US"/>
        </w:rPr>
        <w:t>rank-3/4</w:t>
      </w:r>
      <w:r w:rsidR="00040989">
        <w:t xml:space="preserve"> offers a</w:t>
      </w:r>
      <w:r>
        <w:t xml:space="preserve"> significant</w:t>
      </w:r>
      <w:r w:rsidR="00040989">
        <w:t xml:space="preserve"> UPT gain (i.e., ~</w:t>
      </w:r>
      <w:r w:rsidR="00040989">
        <w:rPr>
          <w:rFonts w:hint="eastAsia"/>
        </w:rPr>
        <w:t>21</w:t>
      </w:r>
      <w:r w:rsidR="00040989">
        <w:t>.</w:t>
      </w:r>
      <w:r w:rsidR="00040989">
        <w:rPr>
          <w:rFonts w:hint="eastAsia"/>
        </w:rPr>
        <w:t>2</w:t>
      </w:r>
      <w:r w:rsidR="00040989">
        <w:t>% for cell-edge UE, ~</w:t>
      </w:r>
      <w:r w:rsidR="00040989">
        <w:rPr>
          <w:rFonts w:hint="eastAsia"/>
        </w:rPr>
        <w:t>3.8</w:t>
      </w:r>
      <w:r w:rsidR="00040989">
        <w:t>% for</w:t>
      </w:r>
      <w:r w:rsidR="00040989">
        <w:rPr>
          <w:rFonts w:hint="eastAsia"/>
        </w:rPr>
        <w:t xml:space="preserve"> near-field</w:t>
      </w:r>
      <w:r w:rsidR="00040989">
        <w:t xml:space="preserve"> UE</w:t>
      </w:r>
      <w:r w:rsidR="00040989">
        <w:rPr>
          <w:rFonts w:hint="eastAsia"/>
        </w:rPr>
        <w:t xml:space="preserve">, </w:t>
      </w:r>
      <w:r w:rsidR="00040989">
        <w:t>~</w:t>
      </w:r>
      <w:r w:rsidR="00040989">
        <w:rPr>
          <w:rFonts w:hint="eastAsia"/>
        </w:rPr>
        <w:t>8.1</w:t>
      </w:r>
      <w:r w:rsidR="00040989">
        <w:t xml:space="preserve">% in average) over </w:t>
      </w:r>
      <w:r w:rsidR="00D62EF3">
        <w:rPr>
          <w:rFonts w:eastAsia="Batang"/>
          <w:iCs/>
          <w:szCs w:val="20"/>
          <w:lang w:eastAsia="en-US"/>
        </w:rPr>
        <w:t>Rel-15 SP Type-I codebook</w:t>
      </w:r>
      <w:r w:rsidR="00040989">
        <w:rPr>
          <w:rFonts w:eastAsia="Batang"/>
          <w:iCs/>
          <w:szCs w:val="20"/>
          <w:lang w:val="en-GB" w:eastAsia="en-US"/>
        </w:rPr>
        <w:t xml:space="preserve"> for </w:t>
      </w:r>
      <w:r w:rsidR="00040989">
        <w:t>P</w:t>
      </w:r>
      <w:r w:rsidR="00040989">
        <w:rPr>
          <w:vertAlign w:val="subscript"/>
        </w:rPr>
        <w:t>CSI-RS</w:t>
      </w:r>
      <w:r w:rsidR="00040989">
        <w:t xml:space="preserve"> </w:t>
      </w:r>
      <w:r w:rsidR="00040989">
        <w:rPr>
          <w:rFonts w:hint="eastAsia"/>
        </w:rPr>
        <w:t xml:space="preserve">= </w:t>
      </w:r>
      <w:r w:rsidR="00040989">
        <w:t xml:space="preserve">32, emphasizing the potential benefits of a unified </w:t>
      </w:r>
      <w:r w:rsidR="00174F2C">
        <w:t>codebook structure</w:t>
      </w:r>
      <w:r w:rsidR="00040989">
        <w:t>.</w:t>
      </w:r>
      <w:r w:rsidR="004E06D0">
        <w:t xml:space="preserve"> </w:t>
      </w:r>
      <w:r w:rsidR="00AA3683">
        <w:t>Moreover</w:t>
      </w:r>
      <w:r w:rsidR="004E06D0">
        <w:t>, it should be noticed that the above proposal does not imply to remove any existing features in Rel-15 Type-I CSI.</w:t>
      </w:r>
    </w:p>
    <w:p w:rsidR="001D4244" w:rsidRDefault="001D4244">
      <w:r>
        <w:rPr>
          <w:rFonts w:hint="eastAsia"/>
        </w:rPr>
        <w:t xml:space="preserve">Therefore, we support </w:t>
      </w:r>
      <w:r>
        <w:t>the offline</w:t>
      </w:r>
      <w:r>
        <w:rPr>
          <w:rFonts w:hint="eastAsia"/>
        </w:rPr>
        <w:t xml:space="preserve"> P</w:t>
      </w:r>
      <w:r>
        <w:rPr>
          <w:bCs/>
          <w:iCs/>
          <w:kern w:val="2"/>
          <w:szCs w:val="20"/>
        </w:rPr>
        <w:t>roposal</w:t>
      </w:r>
      <w:r>
        <w:rPr>
          <w:rFonts w:hint="eastAsia"/>
          <w:bCs/>
          <w:iCs/>
          <w:kern w:val="2"/>
          <w:szCs w:val="20"/>
        </w:rPr>
        <w:t xml:space="preserve"> 1.E.</w:t>
      </w:r>
    </w:p>
    <w:p w:rsidR="00C42F3E" w:rsidRDefault="00040989">
      <w:pPr>
        <w:jc w:val="center"/>
      </w:pPr>
      <w:r>
        <w:rPr>
          <w:noProof/>
        </w:rPr>
        <w:lastRenderedPageBreak/>
        <w:drawing>
          <wp:inline distT="0" distB="0" distL="114300" distR="114300">
            <wp:extent cx="3844925" cy="2152015"/>
            <wp:effectExtent l="0" t="0" r="3175" b="635"/>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42F3E" w:rsidRDefault="00040989" w:rsidP="00A22029">
      <w:pPr>
        <w:pStyle w:val="aff2"/>
        <w:snapToGrid w:val="0"/>
        <w:spacing w:beforeLines="30" w:before="72" w:afterLines="30" w:after="72" w:line="300" w:lineRule="auto"/>
        <w:ind w:firstLineChars="0" w:firstLine="0"/>
        <w:jc w:val="center"/>
        <w:textAlignment w:val="center"/>
      </w:pPr>
      <w:r>
        <w:rPr>
          <w:b/>
          <w:szCs w:val="20"/>
        </w:rPr>
        <w:t>Figure 1</w:t>
      </w:r>
      <w:r>
        <w:rPr>
          <w:rFonts w:hint="eastAsia"/>
          <w:szCs w:val="20"/>
        </w:rPr>
        <w:t xml:space="preserve"> </w:t>
      </w:r>
      <w:r w:rsidR="00B10467">
        <w:rPr>
          <w:rFonts w:eastAsia="微软雅黑"/>
          <w:szCs w:val="20"/>
        </w:rPr>
        <w:t>Performance comparison between</w:t>
      </w:r>
      <w:r>
        <w:rPr>
          <w:rFonts w:eastAsia="微软雅黑"/>
          <w:szCs w:val="20"/>
        </w:rPr>
        <w:t xml:space="preserve"> </w:t>
      </w:r>
      <w:r>
        <w:rPr>
          <w:rFonts w:eastAsia="微软雅黑" w:hint="eastAsia"/>
          <w:szCs w:val="20"/>
        </w:rPr>
        <w:t>R</w:t>
      </w:r>
      <w:r w:rsidR="001D4244">
        <w:rPr>
          <w:rFonts w:eastAsia="微软雅黑"/>
          <w:szCs w:val="20"/>
        </w:rPr>
        <w:t>el-</w:t>
      </w:r>
      <w:r>
        <w:rPr>
          <w:rFonts w:eastAsia="微软雅黑" w:hint="eastAsia"/>
          <w:szCs w:val="20"/>
        </w:rPr>
        <w:t>19 Type-I codebook</w:t>
      </w:r>
      <w:r w:rsidR="00B10467">
        <w:rPr>
          <w:rFonts w:eastAsia="微软雅黑"/>
          <w:szCs w:val="20"/>
        </w:rPr>
        <w:t xml:space="preserve"> </w:t>
      </w:r>
      <w:r w:rsidR="00B10467">
        <w:rPr>
          <w:rFonts w:eastAsia="微软雅黑" w:hint="eastAsia"/>
          <w:szCs w:val="20"/>
        </w:rPr>
        <w:t>(Scheme-A)</w:t>
      </w:r>
      <w:r>
        <w:rPr>
          <w:rFonts w:eastAsia="微软雅黑" w:hint="eastAsia"/>
          <w:szCs w:val="20"/>
        </w:rPr>
        <w:t xml:space="preserve"> </w:t>
      </w:r>
      <w:r w:rsidR="00B10467">
        <w:rPr>
          <w:rFonts w:eastAsia="微软雅黑"/>
          <w:szCs w:val="20"/>
        </w:rPr>
        <w:t xml:space="preserve">and Rel-15 Type-I codebook </w:t>
      </w:r>
      <w:r>
        <w:rPr>
          <w:rFonts w:eastAsia="微软雅黑" w:hint="eastAsia"/>
          <w:szCs w:val="20"/>
        </w:rPr>
        <w:t>for RI=3-4</w:t>
      </w:r>
    </w:p>
    <w:p w:rsidR="00C42F3E" w:rsidRDefault="00040989">
      <w:pPr>
        <w:widowControl w:val="0"/>
        <w:snapToGrid w:val="0"/>
        <w:spacing w:before="0" w:after="0" w:line="240" w:lineRule="auto"/>
        <w:jc w:val="left"/>
      </w:pPr>
      <w:r>
        <w:rPr>
          <w:rFonts w:hint="eastAsia"/>
          <w:b/>
          <w:bCs/>
          <w:i/>
          <w:iCs/>
        </w:rPr>
        <w:t xml:space="preserve">Proposal </w:t>
      </w:r>
      <w:r>
        <w:rPr>
          <w:b/>
          <w:bCs/>
          <w:i/>
          <w:iCs/>
        </w:rPr>
        <w:t>2</w:t>
      </w:r>
      <w:r>
        <w:rPr>
          <w:rFonts w:hint="eastAsia"/>
          <w:b/>
          <w:bCs/>
          <w:i/>
          <w:iCs/>
        </w:rPr>
        <w:t xml:space="preserve">: </w:t>
      </w:r>
      <w:r>
        <w:rPr>
          <w:rFonts w:eastAsia="Batang"/>
          <w:i/>
          <w:iCs/>
          <w:szCs w:val="20"/>
          <w:lang w:val="en-GB" w:eastAsia="en-US"/>
        </w:rPr>
        <w:t>Support the offline proposal 1.E.</w:t>
      </w:r>
    </w:p>
    <w:p w:rsidR="00C42F3E" w:rsidRDefault="00040989">
      <w:pPr>
        <w:numPr>
          <w:ilvl w:val="1"/>
          <w:numId w:val="8"/>
        </w:numPr>
        <w:snapToGrid w:val="0"/>
        <w:spacing w:before="240" w:afterLines="50" w:line="240" w:lineRule="auto"/>
        <w:outlineLvl w:val="1"/>
        <w:rPr>
          <w:b/>
          <w:bCs/>
          <w:sz w:val="21"/>
          <w:szCs w:val="21"/>
        </w:rPr>
      </w:pPr>
      <w:r>
        <w:rPr>
          <w:b/>
          <w:sz w:val="24"/>
          <w:szCs w:val="20"/>
          <w:lang w:eastAsia="en-US"/>
        </w:rPr>
        <w:t xml:space="preserve">CRI-based CSI reporting for hybrid beamforming </w:t>
      </w:r>
      <w:r>
        <w:rPr>
          <w:rFonts w:hint="eastAsia"/>
          <w:b/>
          <w:sz w:val="24"/>
          <w:szCs w:val="20"/>
        </w:rPr>
        <w:t>for</w:t>
      </w:r>
      <w:r>
        <w:rPr>
          <w:b/>
          <w:sz w:val="24"/>
          <w:szCs w:val="20"/>
          <w:lang w:eastAsia="en-US"/>
        </w:rPr>
        <w:t xml:space="preserve"> up to 128 CSI-RS ports</w:t>
      </w:r>
    </w:p>
    <w:p w:rsidR="00C42F3E" w:rsidRDefault="00040989">
      <w:pPr>
        <w:pStyle w:val="aff2"/>
        <w:ind w:firstLineChars="0" w:firstLine="0"/>
      </w:pPr>
      <w:r>
        <w:rPr>
          <w:rFonts w:hint="eastAsia"/>
        </w:rPr>
        <w:t>Re</w:t>
      </w:r>
      <w:r>
        <w:t xml:space="preserve">garding </w:t>
      </w:r>
      <w:r>
        <w:rPr>
          <w:rFonts w:hint="eastAsia"/>
        </w:rPr>
        <w:t>CSI enhancement for up to 128 CSI-RS ports, the following agreement</w:t>
      </w:r>
      <w:r>
        <w:t xml:space="preserve"> and proposal</w:t>
      </w:r>
      <w:r>
        <w:rPr>
          <w:rFonts w:hint="eastAsia"/>
        </w:rPr>
        <w:t xml:space="preserve"> were </w:t>
      </w:r>
      <w:r>
        <w:t>endorsed and discussed in RAN1#116bis meeting and RAN1#118bis meeting, respectively</w:t>
      </w:r>
      <w:r>
        <w:rPr>
          <w:rFonts w:hint="eastAsia"/>
        </w:rPr>
        <w:t>.</w:t>
      </w:r>
    </w:p>
    <w:tbl>
      <w:tblPr>
        <w:tblStyle w:val="af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42F3E">
        <w:tc>
          <w:tcPr>
            <w:tcW w:w="9576" w:type="dxa"/>
          </w:tcPr>
          <w:p w:rsidR="00C42F3E" w:rsidRDefault="00040989" w:rsidP="00A22029">
            <w:pPr>
              <w:snapToGrid w:val="0"/>
              <w:spacing w:before="0" w:after="0"/>
              <w:rPr>
                <w:rFonts w:eastAsia="Batang"/>
                <w:iCs/>
                <w:szCs w:val="20"/>
                <w:lang w:val="en-GB" w:eastAsia="en-US"/>
              </w:rPr>
            </w:pPr>
            <w:r>
              <w:rPr>
                <w:rFonts w:eastAsiaTheme="minorEastAsia"/>
                <w:b/>
                <w:szCs w:val="20"/>
                <w:u w:val="single"/>
                <w:lang w:eastAsia="ko-KR"/>
              </w:rPr>
              <w:t>Agreement (RAN1#11</w:t>
            </w:r>
            <w:r>
              <w:rPr>
                <w:rFonts w:eastAsiaTheme="minorEastAsia" w:hint="eastAsia"/>
                <w:b/>
                <w:szCs w:val="20"/>
                <w:u w:val="single"/>
              </w:rPr>
              <w:t>6</w:t>
            </w:r>
            <w:r>
              <w:rPr>
                <w:rFonts w:eastAsiaTheme="minorEastAsia"/>
                <w:b/>
                <w:szCs w:val="20"/>
                <w:u w:val="single"/>
                <w:lang w:eastAsia="ko-KR"/>
              </w:rPr>
              <w:t>bis)</w:t>
            </w:r>
          </w:p>
          <w:p w:rsidR="00C42F3E" w:rsidRDefault="00040989" w:rsidP="00A22029">
            <w:pPr>
              <w:snapToGrid w:val="0"/>
              <w:spacing w:before="0" w:after="0"/>
              <w:rPr>
                <w:rFonts w:eastAsia="Batang"/>
                <w:iCs/>
                <w:szCs w:val="20"/>
                <w:lang w:val="en-GB" w:eastAsia="en-US"/>
              </w:rPr>
            </w:pPr>
            <w:r>
              <w:rPr>
                <w:rFonts w:eastAsia="Batang"/>
                <w:iCs/>
                <w:szCs w:val="20"/>
                <w:lang w:val="en-GB" w:eastAsia="en-US"/>
              </w:rPr>
              <w:t>For the Rel-19 CRI-based CSI refinement for up to 128 CSI-RS ports, on the configured K</w:t>
            </w:r>
            <w:r>
              <w:rPr>
                <w:rFonts w:eastAsia="Batang"/>
                <w:iCs/>
                <w:szCs w:val="20"/>
                <w:vertAlign w:val="subscript"/>
                <w:lang w:val="en-GB" w:eastAsia="en-US"/>
              </w:rPr>
              <w:t>S</w:t>
            </w:r>
            <w:r>
              <w:rPr>
                <w:rFonts w:eastAsia="Batang"/>
                <w:iCs/>
                <w:szCs w:val="20"/>
                <w:lang w:val="en-GB" w:eastAsia="en-US"/>
              </w:rPr>
              <w:t>&gt;1 NZP CSI-RS resources, reuse the legacy CMR and IMR rules for the Rel-15 CRI-based reporting. This includes:</w:t>
            </w:r>
          </w:p>
          <w:p w:rsidR="00C42F3E" w:rsidRDefault="00040989" w:rsidP="00A22029">
            <w:pPr>
              <w:widowControl w:val="0"/>
              <w:numPr>
                <w:ilvl w:val="0"/>
                <w:numId w:val="14"/>
              </w:numPr>
              <w:snapToGrid w:val="0"/>
              <w:spacing w:before="0" w:after="0"/>
              <w:rPr>
                <w:rFonts w:eastAsia="Batang"/>
                <w:iCs/>
                <w:kern w:val="2"/>
                <w:szCs w:val="20"/>
                <w:lang w:val="en-GB" w:eastAsia="en-US"/>
              </w:rPr>
            </w:pPr>
            <w:r>
              <w:rPr>
                <w:rFonts w:eastAsia="Batang"/>
                <w:iCs/>
                <w:kern w:val="2"/>
                <w:szCs w:val="20"/>
                <w:lang w:val="en-GB" w:eastAsia="en-US"/>
              </w:rPr>
              <w:t>All the K</w:t>
            </w:r>
            <w:r>
              <w:rPr>
                <w:rFonts w:eastAsia="Batang"/>
                <w:iCs/>
                <w:kern w:val="2"/>
                <w:szCs w:val="20"/>
                <w:vertAlign w:val="subscript"/>
                <w:lang w:val="en-GB" w:eastAsia="en-US"/>
              </w:rPr>
              <w:t>S</w:t>
            </w:r>
            <w:r>
              <w:rPr>
                <w:rFonts w:eastAsia="Batang"/>
                <w:iCs/>
                <w:kern w:val="2"/>
                <w:szCs w:val="20"/>
                <w:lang w:val="en-GB" w:eastAsia="en-US"/>
              </w:rPr>
              <w:t xml:space="preserve"> NZP CSI-RS resources are associated with a same CSI-RS resource set</w:t>
            </w:r>
          </w:p>
          <w:p w:rsidR="00C42F3E" w:rsidRDefault="00040989" w:rsidP="00A22029">
            <w:pPr>
              <w:widowControl w:val="0"/>
              <w:numPr>
                <w:ilvl w:val="0"/>
                <w:numId w:val="14"/>
              </w:numPr>
              <w:snapToGrid w:val="0"/>
              <w:spacing w:before="0" w:after="0"/>
              <w:rPr>
                <w:rFonts w:eastAsia="Batang"/>
                <w:iCs/>
                <w:kern w:val="2"/>
                <w:szCs w:val="20"/>
                <w:lang w:val="en-GB" w:eastAsia="en-US"/>
              </w:rPr>
            </w:pPr>
            <w:r>
              <w:rPr>
                <w:rFonts w:eastAsia="Batang"/>
                <w:iCs/>
                <w:kern w:val="2"/>
                <w:szCs w:val="20"/>
                <w:lang w:val="en-GB" w:eastAsia="en-US"/>
              </w:rPr>
              <w:t>K</w:t>
            </w:r>
            <w:r>
              <w:rPr>
                <w:rFonts w:eastAsia="Batang"/>
                <w:iCs/>
                <w:kern w:val="2"/>
                <w:szCs w:val="20"/>
                <w:vertAlign w:val="subscript"/>
                <w:lang w:val="en-GB" w:eastAsia="en-US"/>
              </w:rPr>
              <w:t>S</w:t>
            </w:r>
            <w:r>
              <w:rPr>
                <w:rFonts w:eastAsia="Batang"/>
                <w:iCs/>
                <w:kern w:val="2"/>
                <w:szCs w:val="20"/>
                <w:lang w:val="en-GB" w:eastAsia="en-US"/>
              </w:rPr>
              <w:t xml:space="preserve"> CSI-IM resources can be configured (implying one-to-one correspondence between K</w:t>
            </w:r>
            <w:r>
              <w:rPr>
                <w:rFonts w:eastAsia="Batang"/>
                <w:iCs/>
                <w:kern w:val="2"/>
                <w:szCs w:val="20"/>
                <w:vertAlign w:val="subscript"/>
                <w:lang w:val="en-GB" w:eastAsia="en-US"/>
              </w:rPr>
              <w:t>S</w:t>
            </w:r>
            <w:r>
              <w:rPr>
                <w:rFonts w:eastAsia="Batang"/>
                <w:iCs/>
                <w:kern w:val="2"/>
                <w:szCs w:val="20"/>
                <w:lang w:val="en-GB" w:eastAsia="en-US"/>
              </w:rPr>
              <w:t xml:space="preserve"> CMRs and K</w:t>
            </w:r>
            <w:r>
              <w:rPr>
                <w:rFonts w:eastAsia="Batang"/>
                <w:iCs/>
                <w:kern w:val="2"/>
                <w:szCs w:val="20"/>
                <w:vertAlign w:val="subscript"/>
                <w:lang w:val="en-GB" w:eastAsia="en-US"/>
              </w:rPr>
              <w:t>S</w:t>
            </w:r>
            <w:r>
              <w:rPr>
                <w:rFonts w:eastAsia="Batang"/>
                <w:iCs/>
                <w:kern w:val="2"/>
                <w:szCs w:val="20"/>
                <w:lang w:val="en-GB" w:eastAsia="en-US"/>
              </w:rPr>
              <w:t xml:space="preserve"> CSI-IMs)</w:t>
            </w:r>
          </w:p>
          <w:p w:rsidR="00C42F3E" w:rsidRDefault="00040989" w:rsidP="00A22029">
            <w:pPr>
              <w:snapToGrid w:val="0"/>
              <w:spacing w:before="0" w:after="0"/>
              <w:rPr>
                <w:rFonts w:eastAsia="Batang"/>
                <w:iCs/>
                <w:szCs w:val="20"/>
                <w:lang w:val="en-GB" w:eastAsia="en-US"/>
              </w:rPr>
            </w:pPr>
            <w:r>
              <w:rPr>
                <w:rFonts w:eastAsia="Batang"/>
                <w:iCs/>
                <w:szCs w:val="20"/>
                <w:lang w:val="en-GB" w:eastAsia="en-US"/>
              </w:rPr>
              <w:t>FFS: Whether all the K</w:t>
            </w:r>
            <w:r>
              <w:rPr>
                <w:rFonts w:eastAsia="Batang"/>
                <w:iCs/>
                <w:szCs w:val="20"/>
                <w:vertAlign w:val="subscript"/>
                <w:lang w:val="en-GB" w:eastAsia="en-US"/>
              </w:rPr>
              <w:t>S</w:t>
            </w:r>
            <w:r>
              <w:rPr>
                <w:rFonts w:eastAsia="Batang"/>
                <w:iCs/>
                <w:szCs w:val="20"/>
                <w:lang w:val="en-GB" w:eastAsia="en-US"/>
              </w:rPr>
              <w:t xml:space="preserve"> NZP CSI-RS resources share a same </w:t>
            </w:r>
            <w:proofErr w:type="spellStart"/>
            <w:r>
              <w:rPr>
                <w:rFonts w:eastAsia="Batang"/>
                <w:iCs/>
                <w:szCs w:val="20"/>
                <w:lang w:val="en-GB" w:eastAsia="en-US"/>
              </w:rPr>
              <w:t>Pcoffset</w:t>
            </w:r>
            <w:proofErr w:type="spellEnd"/>
            <w:r>
              <w:rPr>
                <w:rFonts w:eastAsia="Batang"/>
                <w:iCs/>
                <w:szCs w:val="20"/>
                <w:lang w:val="en-GB" w:eastAsia="en-US"/>
              </w:rPr>
              <w:t xml:space="preserve"> and </w:t>
            </w:r>
            <w:proofErr w:type="spellStart"/>
            <w:r>
              <w:rPr>
                <w:rFonts w:eastAsia="Batang"/>
                <w:iCs/>
                <w:szCs w:val="20"/>
                <w:lang w:val="en-GB" w:eastAsia="en-US"/>
              </w:rPr>
              <w:t>PcoffsetSS</w:t>
            </w:r>
            <w:proofErr w:type="spellEnd"/>
          </w:p>
          <w:p w:rsidR="00C42F3E" w:rsidRDefault="00040989" w:rsidP="00A22029">
            <w:pPr>
              <w:snapToGrid w:val="0"/>
              <w:spacing w:before="0" w:after="0"/>
              <w:rPr>
                <w:rFonts w:eastAsiaTheme="minorEastAsia"/>
                <w:b/>
                <w:szCs w:val="20"/>
                <w:u w:val="single"/>
                <w:lang w:eastAsia="ko-KR"/>
              </w:rPr>
            </w:pPr>
            <w:r>
              <w:rPr>
                <w:rFonts w:eastAsia="Batang"/>
                <w:iCs/>
                <w:szCs w:val="20"/>
                <w:lang w:val="en-GB" w:eastAsia="en-US"/>
              </w:rPr>
              <w:t>FFS: Whether or not NZP CSI-RS resource for interference measurement can be configured. FFS further details.</w:t>
            </w:r>
          </w:p>
          <w:p w:rsidR="00C42F3E" w:rsidRDefault="00040989" w:rsidP="00A22029">
            <w:pPr>
              <w:snapToGrid w:val="0"/>
              <w:spacing w:before="0" w:after="0"/>
              <w:rPr>
                <w:bCs/>
                <w:iCs/>
              </w:rPr>
            </w:pPr>
            <w:r>
              <w:rPr>
                <w:b/>
                <w:bCs/>
                <w:iCs/>
                <w:u w:val="single"/>
              </w:rPr>
              <w:t>Proposal 2.C (RAN1#118bis offline)</w:t>
            </w:r>
            <w:r>
              <w:rPr>
                <w:bCs/>
                <w:iCs/>
              </w:rPr>
              <w:t xml:space="preserve">: </w:t>
            </w:r>
          </w:p>
          <w:p w:rsidR="00C42F3E" w:rsidRDefault="00040989" w:rsidP="00A22029">
            <w:pPr>
              <w:snapToGrid w:val="0"/>
              <w:spacing w:before="0" w:after="0"/>
              <w:rPr>
                <w:bCs/>
                <w:iCs/>
              </w:rPr>
            </w:pPr>
            <w:r>
              <w:rPr>
                <w:bCs/>
                <w:iCs/>
              </w:rPr>
              <w:t xml:space="preserve">For the Rel-19 CRI-based CSI refinement for up to 128 CSI-RS ports, regarding aperiodic CSI-RS resource configuration, the resource-level slot offset is supported as follows: </w:t>
            </w:r>
          </w:p>
          <w:p w:rsidR="00C42F3E" w:rsidRDefault="00040989" w:rsidP="00A22029">
            <w:pPr>
              <w:widowControl w:val="0"/>
              <w:numPr>
                <w:ilvl w:val="0"/>
                <w:numId w:val="15"/>
              </w:numPr>
              <w:snapToGrid w:val="0"/>
              <w:spacing w:before="0" w:after="0"/>
            </w:pPr>
            <w:r>
              <w:rPr>
                <w:bCs/>
                <w:iCs/>
              </w:rPr>
              <w:t>Reuse the same set of CSI-RS resource configuration to accommodate different DCI triggering time.</w:t>
            </w:r>
          </w:p>
        </w:tc>
      </w:tr>
    </w:tbl>
    <w:p w:rsidR="00C42F3E" w:rsidRDefault="00040989">
      <w:pPr>
        <w:rPr>
          <w:iCs/>
          <w:szCs w:val="20"/>
        </w:rPr>
      </w:pPr>
      <w:r>
        <w:rPr>
          <w:rFonts w:hint="eastAsia"/>
          <w:iCs/>
          <w:szCs w:val="20"/>
        </w:rPr>
        <w:t>As reflected</w:t>
      </w:r>
      <w:r>
        <w:rPr>
          <w:iCs/>
          <w:szCs w:val="20"/>
        </w:rPr>
        <w:t xml:space="preserve"> in</w:t>
      </w:r>
      <w:r>
        <w:rPr>
          <w:rFonts w:hint="eastAsia"/>
          <w:iCs/>
          <w:szCs w:val="20"/>
        </w:rPr>
        <w:t xml:space="preserve"> </w:t>
      </w:r>
      <w:r>
        <w:rPr>
          <w:iCs/>
          <w:szCs w:val="20"/>
        </w:rPr>
        <w:t>RAN1#116bis agreement</w:t>
      </w:r>
      <w:r>
        <w:rPr>
          <w:rFonts w:hint="eastAsia"/>
          <w:iCs/>
          <w:szCs w:val="20"/>
        </w:rPr>
        <w:t>, for up-to-128-port AP CSI-RS resource aggregation, a 1-bit per-resource RRC configuration</w:t>
      </w:r>
      <w:r>
        <w:rPr>
          <w:iCs/>
          <w:szCs w:val="20"/>
        </w:rPr>
        <w:t xml:space="preserve"> is supported</w:t>
      </w:r>
      <w:r>
        <w:rPr>
          <w:rFonts w:hint="eastAsia"/>
          <w:iCs/>
          <w:szCs w:val="20"/>
        </w:rPr>
        <w:t xml:space="preserve"> to indicate whether a 1-slot offset relative to the legacy resource-set-level slot offset should be assumed. </w:t>
      </w:r>
      <w:r>
        <w:rPr>
          <w:iCs/>
          <w:szCs w:val="20"/>
        </w:rPr>
        <w:t>For CRIs-based CSI reporting, the same mechanism can be reused to support resource-level slot offsets for the CSI-RS resources in an AP resource set. However, considering that the number of CSI-RS resources</w:t>
      </w:r>
      <w:r w:rsidR="006953B2">
        <w:rPr>
          <w:iCs/>
          <w:szCs w:val="20"/>
        </w:rPr>
        <w:t xml:space="preserve"> in a resource set</w:t>
      </w:r>
      <w:r>
        <w:rPr>
          <w:iCs/>
          <w:szCs w:val="20"/>
        </w:rPr>
        <w:t xml:space="preserve"> could be la</w:t>
      </w:r>
      <w:r>
        <w:rPr>
          <w:rFonts w:hint="eastAsia"/>
          <w:iCs/>
          <w:szCs w:val="20"/>
        </w:rPr>
        <w:t>r</w:t>
      </w:r>
      <w:r>
        <w:rPr>
          <w:iCs/>
          <w:szCs w:val="20"/>
        </w:rPr>
        <w:t>ger for C</w:t>
      </w:r>
      <w:r>
        <w:rPr>
          <w:rFonts w:hint="eastAsia"/>
          <w:iCs/>
          <w:szCs w:val="20"/>
        </w:rPr>
        <w:t>RI</w:t>
      </w:r>
      <w:r>
        <w:rPr>
          <w:iCs/>
          <w:szCs w:val="20"/>
        </w:rPr>
        <w:t xml:space="preserve">s-based CSI reporting and NW may need to switch the beam for different CSI-RS resources, </w:t>
      </w:r>
      <w:r>
        <w:rPr>
          <w:rFonts w:hint="eastAsia"/>
          <w:iCs/>
          <w:szCs w:val="20"/>
        </w:rPr>
        <w:t>a</w:t>
      </w:r>
      <w:r>
        <w:rPr>
          <w:iCs/>
          <w:szCs w:val="20"/>
        </w:rPr>
        <w:t xml:space="preserve"> 1</w:t>
      </w:r>
      <w:r>
        <w:rPr>
          <w:rFonts w:hint="eastAsia"/>
          <w:iCs/>
          <w:szCs w:val="20"/>
        </w:rPr>
        <w:t>-</w:t>
      </w:r>
      <w:r>
        <w:rPr>
          <w:iCs/>
          <w:szCs w:val="20"/>
        </w:rPr>
        <w:t xml:space="preserve">slot </w:t>
      </w:r>
      <w:r w:rsidR="00542A18">
        <w:rPr>
          <w:iCs/>
          <w:szCs w:val="20"/>
        </w:rPr>
        <w:t xml:space="preserve">resource-level </w:t>
      </w:r>
      <w:r>
        <w:rPr>
          <w:iCs/>
          <w:szCs w:val="20"/>
        </w:rPr>
        <w:t>offset m</w:t>
      </w:r>
      <w:r>
        <w:rPr>
          <w:rFonts w:hint="eastAsia"/>
          <w:iCs/>
          <w:szCs w:val="20"/>
        </w:rPr>
        <w:t>a</w:t>
      </w:r>
      <w:r>
        <w:rPr>
          <w:iCs/>
          <w:szCs w:val="20"/>
        </w:rPr>
        <w:t>y NOT be sufficient. So, a larger number of bits can be considered to indicate the resource-level slot offset relative to the resource-set-level slot offset.</w:t>
      </w:r>
    </w:p>
    <w:p w:rsidR="00C42F3E" w:rsidRDefault="00040989">
      <w:pPr>
        <w:rPr>
          <w:i/>
          <w:iCs/>
        </w:rPr>
      </w:pPr>
      <w:r>
        <w:rPr>
          <w:rFonts w:hint="eastAsia"/>
          <w:b/>
          <w:bCs/>
          <w:i/>
          <w:iCs/>
        </w:rPr>
        <w:t xml:space="preserve">Proposal </w:t>
      </w:r>
      <w:r>
        <w:rPr>
          <w:b/>
          <w:bCs/>
          <w:i/>
          <w:iCs/>
        </w:rPr>
        <w:t>3</w:t>
      </w:r>
      <w:r>
        <w:rPr>
          <w:rFonts w:hint="eastAsia"/>
          <w:b/>
          <w:bCs/>
          <w:i/>
          <w:iCs/>
        </w:rPr>
        <w:t xml:space="preserve">: </w:t>
      </w:r>
      <w:r>
        <w:rPr>
          <w:rFonts w:hint="eastAsia"/>
          <w:i/>
          <w:iCs/>
        </w:rPr>
        <w:t>For the Rel-19 CRI-based CSI refinement for up to 128 CSI-RS ports, regarding the slot offset configuration of AP CSI-RS resources, support a per-resource RRC configuration to indicate a resource-level slot offset relative to the legacy resource-set-level slot</w:t>
      </w:r>
      <w:r w:rsidR="00961647">
        <w:rPr>
          <w:i/>
          <w:iCs/>
        </w:rPr>
        <w:t>.</w:t>
      </w:r>
    </w:p>
    <w:p w:rsidR="00C42F3E" w:rsidRDefault="00040989">
      <w:pPr>
        <w:pStyle w:val="aff2"/>
        <w:numPr>
          <w:ilvl w:val="0"/>
          <w:numId w:val="12"/>
        </w:numPr>
        <w:ind w:firstLineChars="0"/>
      </w:pPr>
      <w:r>
        <w:rPr>
          <w:i/>
        </w:rPr>
        <w:t xml:space="preserve">FFS: </w:t>
      </w:r>
      <w:r>
        <w:rPr>
          <w:rFonts w:hint="eastAsia"/>
          <w:i/>
        </w:rPr>
        <w:t>T</w:t>
      </w:r>
      <w:r>
        <w:rPr>
          <w:i/>
        </w:rPr>
        <w:t>he number of bits to indicate resource-level slot offset</w:t>
      </w:r>
      <w:r>
        <w:rPr>
          <w:rFonts w:hint="eastAsia"/>
          <w:i/>
        </w:rPr>
        <w:t>.</w:t>
      </w:r>
    </w:p>
    <w:p w:rsidR="00C42F3E" w:rsidRDefault="00040989">
      <w:pPr>
        <w:keepNext/>
        <w:widowControl w:val="0"/>
        <w:numPr>
          <w:ilvl w:val="0"/>
          <w:numId w:val="8"/>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lastRenderedPageBreak/>
        <w:t>CSI enhancement for CJT</w:t>
      </w:r>
      <w:r>
        <w:rPr>
          <w:rFonts w:eastAsia="Arial Unicode MS" w:hint="eastAsia"/>
          <w:b/>
          <w:bCs/>
          <w:sz w:val="28"/>
          <w:szCs w:val="28"/>
        </w:rPr>
        <w:t xml:space="preserve"> </w:t>
      </w:r>
      <w:r>
        <w:rPr>
          <w:rFonts w:eastAsia="Arial Unicode MS"/>
          <w:b/>
          <w:bCs/>
          <w:sz w:val="28"/>
          <w:szCs w:val="28"/>
        </w:rPr>
        <w:t>calibration</w:t>
      </w:r>
      <w:r>
        <w:rPr>
          <w:rFonts w:eastAsia="Arial Unicode MS" w:hint="eastAsia"/>
          <w:b/>
          <w:bCs/>
          <w:sz w:val="28"/>
          <w:szCs w:val="28"/>
        </w:rPr>
        <w:t xml:space="preserve"> </w:t>
      </w:r>
    </w:p>
    <w:p w:rsidR="00C42F3E" w:rsidRDefault="00040989">
      <w:pPr>
        <w:snapToGrid w:val="0"/>
        <w:spacing w:line="300" w:lineRule="auto"/>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the aspects for CSI enhancement for CJT</w:t>
      </w:r>
      <w:r>
        <w:rPr>
          <w:rFonts w:eastAsia="微软雅黑" w:hint="eastAsia"/>
          <w:szCs w:val="20"/>
        </w:rPr>
        <w:t xml:space="preserve"> </w:t>
      </w:r>
      <w:r>
        <w:rPr>
          <w:rFonts w:eastAsia="Times New Roman"/>
          <w:szCs w:val="24"/>
          <w:lang w:eastAsia="en-US"/>
        </w:rPr>
        <w:t>deployments under non-ideal synchronization and backhaul targeting FR1</w:t>
      </w:r>
      <w:r>
        <w:rPr>
          <w:rFonts w:eastAsia="微软雅黑"/>
          <w:szCs w:val="20"/>
          <w:lang w:val="en-GB"/>
        </w:rPr>
        <w:t xml:space="preserve">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af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C42F3E">
        <w:tc>
          <w:tcPr>
            <w:tcW w:w="9351" w:type="dxa"/>
          </w:tcPr>
          <w:p w:rsidR="00C42F3E" w:rsidRDefault="00040989">
            <w:pPr>
              <w:numPr>
                <w:ilvl w:val="0"/>
                <w:numId w:val="9"/>
              </w:numPr>
              <w:tabs>
                <w:tab w:val="clear" w:pos="720"/>
                <w:tab w:val="left" w:pos="300"/>
              </w:tabs>
              <w:snapToGrid w:val="0"/>
              <w:spacing w:after="0"/>
              <w:rPr>
                <w:rFonts w:eastAsia="Times New Roman"/>
                <w:szCs w:val="24"/>
                <w:lang w:eastAsia="en-US"/>
              </w:rPr>
            </w:pPr>
            <w:r>
              <w:rPr>
                <w:rFonts w:eastAsia="Times New Roman"/>
                <w:szCs w:val="24"/>
                <w:lang w:eastAsia="en-US"/>
              </w:rPr>
              <w:t xml:space="preserve">Specify UE reporting enhancement for CJT deployments under non-ideal synchronization and backhaul, targeting FR1, both FDD and TDD </w:t>
            </w:r>
          </w:p>
          <w:p w:rsidR="00C42F3E" w:rsidRDefault="00040989">
            <w:pPr>
              <w:numPr>
                <w:ilvl w:val="0"/>
                <w:numId w:val="16"/>
              </w:numPr>
              <w:snapToGrid w:val="0"/>
              <w:spacing w:after="0"/>
              <w:rPr>
                <w:bCs/>
              </w:rPr>
            </w:pPr>
            <w:r>
              <w:rPr>
                <w:rFonts w:eastAsia="Times New Roman"/>
                <w:szCs w:val="24"/>
                <w:lang w:eastAsia="en-US"/>
              </w:rPr>
              <w:t>Inter-TRP delay misalignment and frequency/phase offset measurement and reporting, assuming legacy CSI-RS design, with stand-alone aperiodic reporting on PUSCH</w:t>
            </w:r>
          </w:p>
        </w:tc>
      </w:tr>
    </w:tbl>
    <w:p w:rsidR="00C42F3E" w:rsidRDefault="00040989">
      <w:pPr>
        <w:numPr>
          <w:ilvl w:val="1"/>
          <w:numId w:val="8"/>
        </w:numPr>
        <w:snapToGrid w:val="0"/>
        <w:spacing w:afterLines="50" w:line="25" w:lineRule="atLeast"/>
        <w:outlineLvl w:val="1"/>
        <w:rPr>
          <w:b/>
          <w:sz w:val="24"/>
          <w:szCs w:val="20"/>
        </w:rPr>
      </w:pPr>
      <w:r>
        <w:rPr>
          <w:rFonts w:hint="eastAsia"/>
          <w:b/>
          <w:sz w:val="24"/>
          <w:szCs w:val="20"/>
        </w:rPr>
        <w:t>PO</w:t>
      </w:r>
      <w:r>
        <w:rPr>
          <w:b/>
          <w:sz w:val="24"/>
          <w:szCs w:val="20"/>
        </w:rPr>
        <w:t xml:space="preserve"> measurement and reporting</w:t>
      </w:r>
    </w:p>
    <w:p w:rsidR="00C42F3E" w:rsidRDefault="00040989">
      <w:pPr>
        <w:pStyle w:val="aff2"/>
        <w:numPr>
          <w:ilvl w:val="2"/>
          <w:numId w:val="8"/>
        </w:numPr>
        <w:snapToGrid w:val="0"/>
        <w:spacing w:beforeLines="30" w:before="72" w:afterLines="30" w:after="72" w:line="300" w:lineRule="auto"/>
        <w:ind w:firstLineChars="0"/>
        <w:textAlignment w:val="center"/>
        <w:outlineLvl w:val="2"/>
        <w:rPr>
          <w:b/>
          <w:bCs/>
          <w:sz w:val="21"/>
          <w:szCs w:val="21"/>
        </w:rPr>
      </w:pPr>
      <w:r>
        <w:rPr>
          <w:rFonts w:hint="eastAsia"/>
          <w:b/>
          <w:bCs/>
          <w:sz w:val="21"/>
          <w:szCs w:val="21"/>
        </w:rPr>
        <w:t>S</w:t>
      </w:r>
      <w:r>
        <w:rPr>
          <w:b/>
          <w:bCs/>
          <w:sz w:val="21"/>
          <w:szCs w:val="21"/>
        </w:rPr>
        <w:t>RS port selection</w:t>
      </w:r>
    </w:p>
    <w:p w:rsidR="00C42F3E" w:rsidRDefault="00040989">
      <w:r>
        <w:rPr>
          <w:rFonts w:hint="eastAsia"/>
        </w:rPr>
        <w:t>R</w:t>
      </w:r>
      <w:r>
        <w:t xml:space="preserve">egarding SRS port selection for CJT calibration PO reporting, </w:t>
      </w:r>
      <w:r w:rsidR="003E02DA">
        <w:t xml:space="preserve">the </w:t>
      </w:r>
      <w:r>
        <w:t>following agreement</w:t>
      </w:r>
      <w:r w:rsidR="003E02DA">
        <w:t xml:space="preserve"> was reached</w:t>
      </w:r>
      <w:r>
        <w:t xml:space="preserve"> in RAN1#118bis meeting.</w:t>
      </w:r>
    </w:p>
    <w:tbl>
      <w:tblPr>
        <w:tblStyle w:val="af9"/>
        <w:tblW w:w="0" w:type="auto"/>
        <w:tblLook w:val="04A0" w:firstRow="1" w:lastRow="0" w:firstColumn="1" w:lastColumn="0" w:noHBand="0" w:noVBand="1"/>
      </w:tblPr>
      <w:tblGrid>
        <w:gridCol w:w="9350"/>
      </w:tblGrid>
      <w:tr w:rsidR="00C42F3E">
        <w:tc>
          <w:tcPr>
            <w:tcW w:w="9350" w:type="dxa"/>
          </w:tcPr>
          <w:p w:rsidR="00C42F3E" w:rsidRDefault="00040989" w:rsidP="00A22029">
            <w:pPr>
              <w:snapToGrid w:val="0"/>
              <w:spacing w:before="0" w:after="0"/>
              <w:rPr>
                <w:rFonts w:eastAsiaTheme="minorEastAsia" w:cs="Times"/>
                <w:b/>
                <w:szCs w:val="20"/>
                <w:u w:val="single"/>
                <w:lang w:eastAsia="ko-KR"/>
              </w:rPr>
            </w:pPr>
            <w:r>
              <w:rPr>
                <w:rFonts w:eastAsiaTheme="minorEastAsia" w:cs="Times" w:hint="eastAsia"/>
                <w:b/>
                <w:szCs w:val="20"/>
                <w:u w:val="single"/>
                <w:lang w:eastAsia="ko-KR"/>
              </w:rPr>
              <w:t>Agreement</w:t>
            </w:r>
            <w:r>
              <w:rPr>
                <w:rFonts w:eastAsiaTheme="minorEastAsia" w:cs="Times"/>
                <w:b/>
                <w:szCs w:val="20"/>
                <w:u w:val="single"/>
                <w:lang w:eastAsia="ko-KR"/>
              </w:rPr>
              <w:t xml:space="preserve"> (RAN1#118bis)</w:t>
            </w:r>
          </w:p>
          <w:p w:rsidR="00C42F3E" w:rsidRDefault="00040989" w:rsidP="00A22029">
            <w:pPr>
              <w:snapToGrid w:val="0"/>
              <w:spacing w:before="0" w:after="0"/>
              <w:rPr>
                <w:bCs/>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Pr>
                <w:rFonts w:hint="eastAsia"/>
                <w:szCs w:val="20"/>
                <w:lang w:eastAsia="ko-KR"/>
              </w:rPr>
              <w:t>can be</w:t>
            </w:r>
            <w:r>
              <w:rPr>
                <w:szCs w:val="20"/>
              </w:rPr>
              <w:t xml:space="preserve"> configured per CSI reporting setting.</w:t>
            </w:r>
          </w:p>
        </w:tc>
      </w:tr>
    </w:tbl>
    <w:p w:rsidR="00C42F3E" w:rsidRDefault="00040989">
      <w:r>
        <w:rPr>
          <w:rFonts w:hint="eastAsia"/>
        </w:rPr>
        <w:t>B</w:t>
      </w:r>
      <w:r>
        <w:t>ased on the above agreement, to enable dynamical SRS port selection at NW side when y&gt;1, at least y CSI reporting settings need to be configured to cover all the possibilities. However, the maximum number of</w:t>
      </w:r>
      <w:r w:rsidR="003E02DA">
        <w:t xml:space="preserve"> configured</w:t>
      </w:r>
      <w:r>
        <w:t xml:space="preserve"> CSI reporting setting is very limited, i.e., 48. In real implementation, it is impossible to spend to many CSI reporting settings on inter-TRP phase measurement. To save the number of </w:t>
      </w:r>
      <w:r w:rsidR="003E02DA">
        <w:t xml:space="preserve">configured </w:t>
      </w:r>
      <w:r>
        <w:t xml:space="preserve">CSI reporting settings, it is better to configure the selected SRS port in each trigger state. Then only one CSI reporting setting is needed, and multiple trigger state can be configured to enable dynamical SRS port selection. Figure 2 gives two diagrams to show the difference between the two signaling structures. </w:t>
      </w:r>
    </w:p>
    <w:p w:rsidR="00C42F3E" w:rsidRDefault="00040989">
      <w:pPr>
        <w:jc w:val="center"/>
      </w:pPr>
      <w:r>
        <w:object w:dxaOrig="6729" w:dyaOrig="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36.5pt;height:131.5pt" o:ole="">
            <v:imagedata r:id="rId9" o:title=""/>
          </v:shape>
          <o:OLEObject Type="Embed" ProgID="Visio.Drawing.15" ShapeID="_x0000_i1037" DrawAspect="Content" ObjectID="_1792588756" r:id="rId10"/>
        </w:object>
      </w:r>
    </w:p>
    <w:p w:rsidR="00C42F3E" w:rsidRDefault="00040989">
      <w:pPr>
        <w:jc w:val="center"/>
      </w:pPr>
      <w:r>
        <w:t xml:space="preserve">(a) </w:t>
      </w:r>
      <w:r>
        <w:rPr>
          <w:rFonts w:hint="eastAsia"/>
        </w:rPr>
        <w:t>T</w:t>
      </w:r>
      <w:r>
        <w:t>he selected SRS port is configured per CSI reporting setting</w:t>
      </w:r>
    </w:p>
    <w:p w:rsidR="00C42F3E" w:rsidRDefault="00040989">
      <w:pPr>
        <w:jc w:val="center"/>
      </w:pPr>
      <w:r>
        <w:object w:dxaOrig="4172" w:dyaOrig="4523">
          <v:shape id="_x0000_i1038" type="#_x0000_t75" style="width:208.5pt;height:226.5pt" o:ole="">
            <v:imagedata r:id="rId11" o:title=""/>
          </v:shape>
          <o:OLEObject Type="Embed" ProgID="Visio.Drawing.15" ShapeID="_x0000_i1038" DrawAspect="Content" ObjectID="_1792588757" r:id="rId12"/>
        </w:object>
      </w:r>
    </w:p>
    <w:p w:rsidR="00C42F3E" w:rsidRDefault="00040989">
      <w:pPr>
        <w:jc w:val="center"/>
      </w:pPr>
      <w:r>
        <w:rPr>
          <w:rFonts w:hint="eastAsia"/>
        </w:rPr>
        <w:t>(</w:t>
      </w:r>
      <w:r>
        <w:t>b) The selected SRS port is configured per trigger state</w:t>
      </w:r>
    </w:p>
    <w:p w:rsidR="00C42F3E" w:rsidRDefault="00040989">
      <w:pPr>
        <w:jc w:val="center"/>
      </w:pPr>
      <w:r>
        <w:rPr>
          <w:rFonts w:hint="eastAsia"/>
          <w:b/>
        </w:rPr>
        <w:t>F</w:t>
      </w:r>
      <w:r>
        <w:rPr>
          <w:b/>
        </w:rPr>
        <w:t>igure 2</w:t>
      </w:r>
      <w:r>
        <w:t xml:space="preserve"> Diagrams of different signaling structures for SRS port selection for inter-TRP phase measurement</w:t>
      </w:r>
    </w:p>
    <w:p w:rsidR="00C42F3E" w:rsidRDefault="00040989">
      <w:r>
        <w:rPr>
          <w:rFonts w:hint="eastAsia"/>
        </w:rPr>
        <w:t>F</w:t>
      </w:r>
      <w:r>
        <w:t>rom figure 2, if the selected SRS port is configured per trigger state, (y-1) CSI reporting settings can be saved.</w:t>
      </w:r>
    </w:p>
    <w:p w:rsidR="00C42F3E" w:rsidRDefault="00040989">
      <w:pPr>
        <w:rPr>
          <w:i/>
        </w:rPr>
      </w:pPr>
      <w:r>
        <w:rPr>
          <w:rFonts w:hint="eastAsia"/>
          <w:b/>
          <w:i/>
        </w:rPr>
        <w:t>P</w:t>
      </w:r>
      <w:r>
        <w:rPr>
          <w:b/>
          <w:i/>
        </w:rPr>
        <w:t>roposal 4:</w:t>
      </w:r>
      <w:r>
        <w:rPr>
          <w:rFonts w:hint="eastAsia"/>
          <w:i/>
        </w:rPr>
        <w:t xml:space="preserve"> </w:t>
      </w:r>
      <w:r>
        <w:rPr>
          <w:i/>
          <w:szCs w:val="20"/>
        </w:rPr>
        <w:t xml:space="preserve">For the Rel-19 aperiodic standalone CJT calibration reporting, when </w:t>
      </w:r>
      <w:proofErr w:type="spellStart"/>
      <w:r>
        <w:rPr>
          <w:i/>
          <w:szCs w:val="20"/>
        </w:rPr>
        <w:t>ReportQuantity</w:t>
      </w:r>
      <w:proofErr w:type="spellEnd"/>
      <w:r>
        <w:rPr>
          <w:i/>
          <w:szCs w:val="20"/>
        </w:rPr>
        <w:t xml:space="preserve"> is ‘</w:t>
      </w:r>
      <w:proofErr w:type="spellStart"/>
      <w:r>
        <w:rPr>
          <w:i/>
          <w:szCs w:val="20"/>
        </w:rPr>
        <w:t>cjtc</w:t>
      </w:r>
      <w:proofErr w:type="spellEnd"/>
      <w:r>
        <w:rPr>
          <w:i/>
          <w:szCs w:val="20"/>
        </w:rPr>
        <w:t>-P’ (DL/UL phase offset), the selection of P</w:t>
      </w:r>
      <w:r>
        <w:rPr>
          <w:i/>
          <w:szCs w:val="20"/>
          <w:vertAlign w:val="subscript"/>
        </w:rPr>
        <w:t>SRS</w:t>
      </w:r>
      <w:r>
        <w:rPr>
          <w:i/>
          <w:szCs w:val="20"/>
        </w:rPr>
        <w:t xml:space="preserve">=1 SRS port (corresponding to the ‘reference UE antenna port’) out of the y available SRS ports (from an </w:t>
      </w:r>
      <w:proofErr w:type="spellStart"/>
      <w:r>
        <w:rPr>
          <w:i/>
          <w:szCs w:val="20"/>
        </w:rPr>
        <w:t>xTyR</w:t>
      </w:r>
      <w:proofErr w:type="spellEnd"/>
      <w:r>
        <w:rPr>
          <w:i/>
          <w:szCs w:val="20"/>
        </w:rPr>
        <w:t xml:space="preserve"> SRS resource for antenna switching) </w:t>
      </w:r>
      <w:r>
        <w:rPr>
          <w:i/>
          <w:szCs w:val="20"/>
          <w:lang w:eastAsia="ko-KR"/>
        </w:rPr>
        <w:t>is</w:t>
      </w:r>
      <w:r>
        <w:rPr>
          <w:rFonts w:hint="eastAsia"/>
          <w:i/>
          <w:szCs w:val="20"/>
          <w:lang w:eastAsia="ko-KR"/>
        </w:rPr>
        <w:t xml:space="preserve"> </w:t>
      </w:r>
      <w:r>
        <w:rPr>
          <w:i/>
          <w:szCs w:val="20"/>
        </w:rPr>
        <w:t>configured per trigger state.</w:t>
      </w:r>
    </w:p>
    <w:p w:rsidR="00C42F3E" w:rsidRDefault="00040989">
      <w:pPr>
        <w:pStyle w:val="aff2"/>
        <w:numPr>
          <w:ilvl w:val="2"/>
          <w:numId w:val="8"/>
        </w:numPr>
        <w:snapToGrid w:val="0"/>
        <w:spacing w:beforeLines="30" w:before="72" w:afterLines="30" w:after="72" w:line="300" w:lineRule="auto"/>
        <w:ind w:firstLineChars="0"/>
        <w:textAlignment w:val="center"/>
        <w:outlineLvl w:val="2"/>
        <w:rPr>
          <w:b/>
          <w:bCs/>
          <w:sz w:val="21"/>
          <w:szCs w:val="21"/>
        </w:rPr>
      </w:pPr>
      <w:r>
        <w:rPr>
          <w:b/>
          <w:bCs/>
          <w:sz w:val="21"/>
          <w:szCs w:val="21"/>
        </w:rPr>
        <w:t>SRS occasion for PO measurement</w:t>
      </w:r>
    </w:p>
    <w:p w:rsidR="00C42F3E" w:rsidRDefault="00040989">
      <w:r>
        <w:rPr>
          <w:rFonts w:hint="eastAsia"/>
        </w:rPr>
        <w:t>R</w:t>
      </w:r>
      <w:r>
        <w:t>egarding SRS occasion for PO measurement, the following agreement</w:t>
      </w:r>
      <w:r w:rsidR="003E02DA">
        <w:t xml:space="preserve"> was reached</w:t>
      </w:r>
      <w:r>
        <w:t xml:space="preserve"> in RAN1#118 bis meeting.</w:t>
      </w:r>
    </w:p>
    <w:tbl>
      <w:tblPr>
        <w:tblStyle w:val="af9"/>
        <w:tblW w:w="0" w:type="auto"/>
        <w:tblLook w:val="04A0" w:firstRow="1" w:lastRow="0" w:firstColumn="1" w:lastColumn="0" w:noHBand="0" w:noVBand="1"/>
      </w:tblPr>
      <w:tblGrid>
        <w:gridCol w:w="9350"/>
      </w:tblGrid>
      <w:tr w:rsidR="00C42F3E">
        <w:tc>
          <w:tcPr>
            <w:tcW w:w="9350" w:type="dxa"/>
          </w:tcPr>
          <w:p w:rsidR="00C42F3E" w:rsidRDefault="00040989" w:rsidP="00A22029">
            <w:pPr>
              <w:snapToGrid w:val="0"/>
              <w:spacing w:before="0" w:after="0"/>
              <w:rPr>
                <w:rFonts w:eastAsiaTheme="minorEastAsia" w:cs="Times"/>
                <w:b/>
                <w:szCs w:val="20"/>
                <w:u w:val="single"/>
                <w:lang w:eastAsia="ko-KR"/>
              </w:rPr>
            </w:pPr>
            <w:r>
              <w:rPr>
                <w:rFonts w:eastAsiaTheme="minorEastAsia" w:cs="Times" w:hint="eastAsia"/>
                <w:b/>
                <w:szCs w:val="20"/>
                <w:u w:val="single"/>
                <w:lang w:eastAsia="ko-KR"/>
              </w:rPr>
              <w:t>Agreement</w:t>
            </w:r>
            <w:r>
              <w:rPr>
                <w:rFonts w:eastAsiaTheme="minorEastAsia" w:cs="Times"/>
                <w:b/>
                <w:szCs w:val="20"/>
                <w:u w:val="single"/>
                <w:lang w:eastAsia="ko-KR"/>
              </w:rPr>
              <w:t xml:space="preserve"> (RAN1#118bis)</w:t>
            </w:r>
          </w:p>
          <w:p w:rsidR="00C42F3E" w:rsidRDefault="00040989" w:rsidP="00A22029">
            <w:pPr>
              <w:snapToGrid w:val="0"/>
              <w:spacing w:before="0" w:after="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rsidR="00C42F3E" w:rsidRDefault="00040989" w:rsidP="00A22029">
            <w:pPr>
              <w:pStyle w:val="aff2"/>
              <w:numPr>
                <w:ilvl w:val="0"/>
                <w:numId w:val="17"/>
              </w:numPr>
              <w:snapToGrid w:val="0"/>
              <w:spacing w:before="0" w:after="0"/>
              <w:ind w:firstLineChars="0"/>
              <w:contextualSpacing/>
              <w:jc w:val="left"/>
              <w:rPr>
                <w:rFonts w:eastAsia="Malgun Gothic"/>
                <w:szCs w:val="20"/>
              </w:rPr>
            </w:pPr>
            <w:r>
              <w:rPr>
                <w:rFonts w:eastAsia="Malgun Gothic"/>
                <w:szCs w:val="20"/>
              </w:rPr>
              <w:t>Confirm the following working assumption as agreement: “the configured associated SRS resource can be either periodic, semi-persistent, or aperiodic”</w:t>
            </w:r>
          </w:p>
          <w:p w:rsidR="00C42F3E" w:rsidRDefault="00040989" w:rsidP="00A22029">
            <w:pPr>
              <w:numPr>
                <w:ilvl w:val="0"/>
                <w:numId w:val="18"/>
              </w:numPr>
              <w:snapToGrid w:val="0"/>
              <w:spacing w:before="0" w:after="0"/>
              <w:contextualSpacing/>
              <w:jc w:val="left"/>
              <w:rPr>
                <w:rFonts w:eastAsia="Malgun Gothic"/>
                <w:szCs w:val="20"/>
              </w:rPr>
            </w:pPr>
            <w:r>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Pr>
                <w:rFonts w:eastAsia="Malgun Gothic"/>
                <w:szCs w:val="20"/>
                <w:vertAlign w:val="subscript"/>
              </w:rPr>
              <w:t>TRP</w:t>
            </w:r>
            <w:r>
              <w:rPr>
                <w:rFonts w:eastAsia="Malgun Gothic"/>
                <w:szCs w:val="20"/>
              </w:rPr>
              <w:t xml:space="preserve"> CSI-RS resources used for measuring ‘</w:t>
            </w:r>
            <w:proofErr w:type="spellStart"/>
            <w:r>
              <w:rPr>
                <w:rFonts w:eastAsia="Malgun Gothic"/>
                <w:szCs w:val="20"/>
              </w:rPr>
              <w:t>cjtc</w:t>
            </w:r>
            <w:proofErr w:type="spellEnd"/>
            <w:r>
              <w:rPr>
                <w:rFonts w:eastAsia="Malgun Gothic"/>
                <w:szCs w:val="20"/>
              </w:rPr>
              <w:t>-P’ report</w:t>
            </w:r>
          </w:p>
          <w:p w:rsidR="00C42F3E" w:rsidRDefault="00040989" w:rsidP="00A22029">
            <w:pPr>
              <w:numPr>
                <w:ilvl w:val="1"/>
                <w:numId w:val="18"/>
              </w:numPr>
              <w:snapToGrid w:val="0"/>
              <w:spacing w:before="0" w:after="0"/>
              <w:contextualSpacing/>
              <w:jc w:val="left"/>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rsidR="00C42F3E" w:rsidRDefault="00040989" w:rsidP="00A22029">
            <w:pPr>
              <w:numPr>
                <w:ilvl w:val="1"/>
                <w:numId w:val="18"/>
              </w:numPr>
              <w:snapToGrid w:val="0"/>
              <w:spacing w:before="0" w:after="0"/>
              <w:contextualSpacing/>
              <w:jc w:val="left"/>
              <w:rPr>
                <w:rFonts w:eastAsia="Malgun Gothic"/>
                <w:szCs w:val="20"/>
              </w:rPr>
            </w:pPr>
            <w:r>
              <w:rPr>
                <w:rFonts w:eastAsia="Malgun Gothic"/>
                <w:szCs w:val="20"/>
              </w:rPr>
              <w:t>FFS: Whether determination of SRS transmission occasion is needed for aperiodic associated SRS resource, and if so, how</w:t>
            </w:r>
          </w:p>
        </w:tc>
      </w:tr>
    </w:tbl>
    <w:p w:rsidR="00C42F3E" w:rsidRDefault="00040989">
      <w:r>
        <w:t>For the first FFS, whether ‘the earliest SRS occasion after the N</w:t>
      </w:r>
      <w:r>
        <w:rPr>
          <w:vertAlign w:val="subscript"/>
        </w:rPr>
        <w:t>TRP</w:t>
      </w:r>
      <w:r>
        <w:t xml:space="preserve"> CSI-RS occasions’ is usable depends on specific implementations. If the CSI-RS is </w:t>
      </w:r>
      <w:proofErr w:type="spellStart"/>
      <w:r>
        <w:t>precoded</w:t>
      </w:r>
      <w:proofErr w:type="spellEnd"/>
      <w:r>
        <w:t xml:space="preserve"> based SRS, then UE must transmit</w:t>
      </w:r>
      <w:r w:rsidR="003E02DA">
        <w:t xml:space="preserve"> the</w:t>
      </w:r>
      <w:r>
        <w:t xml:space="preserve"> SRS before receiving</w:t>
      </w:r>
      <w:r w:rsidR="003E02DA">
        <w:t xml:space="preserve"> the</w:t>
      </w:r>
      <w:r>
        <w:t xml:space="preserve"> CSI-RS. While if the CSI-RS is NOT </w:t>
      </w:r>
      <w:proofErr w:type="spellStart"/>
      <w:r>
        <w:t>precoded</w:t>
      </w:r>
      <w:proofErr w:type="spellEnd"/>
      <w:r>
        <w:t xml:space="preserve"> based SRS, UE can transmit</w:t>
      </w:r>
      <w:r w:rsidR="003E02DA">
        <w:t xml:space="preserve"> the</w:t>
      </w:r>
      <w:r>
        <w:t xml:space="preserve"> SRS</w:t>
      </w:r>
      <w:r w:rsidR="003E02DA">
        <w:t xml:space="preserve"> either</w:t>
      </w:r>
      <w:r>
        <w:t xml:space="preserve"> before or after receiving</w:t>
      </w:r>
      <w:r w:rsidR="003E02DA">
        <w:t xml:space="preserve"> the</w:t>
      </w:r>
      <w:r>
        <w:t xml:space="preserve"> CSI-RS. Therefore, a 1-bit indicator can be introduced to inform UE whether ‘the earliest SRS occasion after the N</w:t>
      </w:r>
      <w:r>
        <w:rPr>
          <w:vertAlign w:val="subscript"/>
        </w:rPr>
        <w:t>TRP</w:t>
      </w:r>
      <w:r>
        <w:t xml:space="preserve"> CSI-RS occasions’ is usable. If the indicator is set to 1, i.e., ‘the earliest SRS occasion after the N</w:t>
      </w:r>
      <w:r>
        <w:rPr>
          <w:vertAlign w:val="subscript"/>
        </w:rPr>
        <w:t>TRP</w:t>
      </w:r>
      <w:r>
        <w:t xml:space="preserve"> CSI-RS occasions’</w:t>
      </w:r>
      <w:r w:rsidR="00D34646">
        <w:t xml:space="preserve"> is usable</w:t>
      </w:r>
      <w:r>
        <w:t>, to achieve better measurement accuracy, UE should use</w:t>
      </w:r>
      <w:r w:rsidR="00D34646">
        <w:t xml:space="preserve"> the</w:t>
      </w:r>
      <w:r>
        <w:t xml:space="preserve"> </w:t>
      </w:r>
      <w:r w:rsidR="00D34646">
        <w:t>closest SRS occasion either before or after</w:t>
      </w:r>
      <w:r>
        <w:t xml:space="preserve"> the N</w:t>
      </w:r>
      <w:r>
        <w:rPr>
          <w:vertAlign w:val="subscript"/>
        </w:rPr>
        <w:t>TRP</w:t>
      </w:r>
      <w:r>
        <w:t xml:space="preserve"> CSI-RS occasions</w:t>
      </w:r>
      <w:r w:rsidR="003E02DA">
        <w:t xml:space="preserve"> to</w:t>
      </w:r>
      <w:r w:rsidR="00D34646">
        <w:t xml:space="preserve"> determine the reference antenna port for measuring the PO</w:t>
      </w:r>
      <w:r>
        <w:t>.</w:t>
      </w:r>
    </w:p>
    <w:p w:rsidR="00C42F3E" w:rsidRDefault="00040989">
      <w:pPr>
        <w:rPr>
          <w:i/>
        </w:rPr>
      </w:pPr>
      <w:r>
        <w:rPr>
          <w:rFonts w:hint="eastAsia"/>
          <w:b/>
          <w:i/>
        </w:rPr>
        <w:lastRenderedPageBreak/>
        <w:t>P</w:t>
      </w:r>
      <w:r>
        <w:rPr>
          <w:b/>
          <w:i/>
        </w:rPr>
        <w:t>roposal 5:</w:t>
      </w:r>
      <w:r>
        <w:rPr>
          <w:i/>
        </w:rPr>
        <w:t xml:space="preserve"> </w:t>
      </w:r>
      <w:r>
        <w:rPr>
          <w:i/>
          <w:szCs w:val="20"/>
        </w:rPr>
        <w:t xml:space="preserve">For the Rel-19 aperiodic standalone CJT calibration reporting, when </w:t>
      </w:r>
      <w:proofErr w:type="spellStart"/>
      <w:r>
        <w:rPr>
          <w:i/>
          <w:szCs w:val="20"/>
        </w:rPr>
        <w:t>ReportQuantity</w:t>
      </w:r>
      <w:proofErr w:type="spellEnd"/>
      <w:r>
        <w:rPr>
          <w:i/>
          <w:szCs w:val="20"/>
        </w:rPr>
        <w:t xml:space="preserve"> is ‘</w:t>
      </w:r>
      <w:proofErr w:type="spellStart"/>
      <w:r>
        <w:rPr>
          <w:i/>
          <w:szCs w:val="20"/>
        </w:rPr>
        <w:t>cjtc</w:t>
      </w:r>
      <w:proofErr w:type="spellEnd"/>
      <w:r>
        <w:rPr>
          <w:i/>
          <w:szCs w:val="20"/>
        </w:rPr>
        <w:t xml:space="preserve">-P’ (DL/UL phase offset), </w:t>
      </w:r>
      <w:r>
        <w:rPr>
          <w:rFonts w:eastAsia="Malgun Gothic"/>
          <w:i/>
          <w:szCs w:val="20"/>
        </w:rPr>
        <w:t xml:space="preserve">when periodic or semi-persistent associated SRS resource is configured, </w:t>
      </w:r>
      <w:r>
        <w:rPr>
          <w:i/>
        </w:rPr>
        <w:t>support a 1-bit indicator to inform UE whether ‘the earliest SRS occasion after the N</w:t>
      </w:r>
      <w:r>
        <w:rPr>
          <w:i/>
          <w:vertAlign w:val="subscript"/>
        </w:rPr>
        <w:t>TRP</w:t>
      </w:r>
      <w:r>
        <w:rPr>
          <w:i/>
        </w:rPr>
        <w:t xml:space="preserve"> CSI-RS occasions’ can be used for determining the reference UE antenna port.</w:t>
      </w:r>
    </w:p>
    <w:p w:rsidR="00C42F3E" w:rsidRDefault="00040989">
      <w:pPr>
        <w:pStyle w:val="aff2"/>
        <w:numPr>
          <w:ilvl w:val="0"/>
          <w:numId w:val="12"/>
        </w:numPr>
        <w:ind w:firstLineChars="0"/>
        <w:rPr>
          <w:i/>
        </w:rPr>
      </w:pPr>
      <w:r>
        <w:rPr>
          <w:rFonts w:hint="eastAsia"/>
          <w:i/>
        </w:rPr>
        <w:t>I</w:t>
      </w:r>
      <w:r>
        <w:rPr>
          <w:i/>
        </w:rPr>
        <w:t>f the 1-bit indicator is set to 0, UE determines the reference UE antenna port corresponds to the last SRS occasion before the N</w:t>
      </w:r>
      <w:r>
        <w:rPr>
          <w:i/>
          <w:vertAlign w:val="subscript"/>
        </w:rPr>
        <w:t>TRP</w:t>
      </w:r>
      <w:r>
        <w:rPr>
          <w:i/>
        </w:rPr>
        <w:t xml:space="preserve"> CSI-RS occasions for measuring ‘</w:t>
      </w:r>
      <w:proofErr w:type="spellStart"/>
      <w:r>
        <w:rPr>
          <w:i/>
        </w:rPr>
        <w:t>cjtc</w:t>
      </w:r>
      <w:proofErr w:type="spellEnd"/>
      <w:r>
        <w:rPr>
          <w:i/>
        </w:rPr>
        <w:t>-P’ report;</w:t>
      </w:r>
    </w:p>
    <w:p w:rsidR="00C42F3E" w:rsidRDefault="00040989">
      <w:pPr>
        <w:pStyle w:val="aff2"/>
        <w:numPr>
          <w:ilvl w:val="0"/>
          <w:numId w:val="12"/>
        </w:numPr>
        <w:ind w:firstLineChars="0"/>
        <w:rPr>
          <w:i/>
        </w:rPr>
      </w:pPr>
      <w:r>
        <w:rPr>
          <w:rFonts w:hint="eastAsia"/>
          <w:i/>
        </w:rPr>
        <w:t>I</w:t>
      </w:r>
      <w:r>
        <w:rPr>
          <w:i/>
        </w:rPr>
        <w:t xml:space="preserve">f the 1-bit indicator is set to 1, UE determines the reference UE antenna port corresponds to the </w:t>
      </w:r>
      <w:r w:rsidR="00D34646">
        <w:rPr>
          <w:i/>
        </w:rPr>
        <w:t xml:space="preserve">closest </w:t>
      </w:r>
      <w:r>
        <w:rPr>
          <w:i/>
        </w:rPr>
        <w:t>SRS occasion</w:t>
      </w:r>
      <w:r w:rsidR="00D34646">
        <w:rPr>
          <w:i/>
        </w:rPr>
        <w:t xml:space="preserve"> either</w:t>
      </w:r>
      <w:r>
        <w:rPr>
          <w:i/>
        </w:rPr>
        <w:t xml:space="preserve"> before or after the N</w:t>
      </w:r>
      <w:r>
        <w:rPr>
          <w:i/>
          <w:vertAlign w:val="subscript"/>
        </w:rPr>
        <w:t>TRP</w:t>
      </w:r>
      <w:r>
        <w:rPr>
          <w:i/>
        </w:rPr>
        <w:t xml:space="preserve"> CSI-RS occasions for measuring ‘</w:t>
      </w:r>
      <w:proofErr w:type="spellStart"/>
      <w:r>
        <w:rPr>
          <w:i/>
        </w:rPr>
        <w:t>cjtc</w:t>
      </w:r>
      <w:proofErr w:type="spellEnd"/>
      <w:r>
        <w:rPr>
          <w:i/>
        </w:rPr>
        <w:t>-P’ report</w:t>
      </w:r>
      <w:r w:rsidR="00811310">
        <w:rPr>
          <w:i/>
        </w:rPr>
        <w:t>.</w:t>
      </w:r>
    </w:p>
    <w:p w:rsidR="00C42F3E" w:rsidRDefault="00040989">
      <w:r>
        <w:t>For the second FFS, when aperiodic SRS resource is configured, there could be more than one triggered SRS occasions corresponding to the configured resource. So, determination of SRS occasion is also needed. For aperiodic SRS resource, UE does NOT know when or whether the SRS will be triggered. To determine the reference antenna port for PO measurement, UE can only rely on the SRS triggered before the ‘</w:t>
      </w:r>
      <w:proofErr w:type="spellStart"/>
      <w:r>
        <w:t>cjt</w:t>
      </w:r>
      <w:proofErr w:type="spellEnd"/>
      <w:r>
        <w:t>-P’ report. In other words, for aperiodic SRS, UE should determine the reference UE antenna port corresponds to the latest SRS occasion triggered by a DCI no later than the DCI triggering the ‘</w:t>
      </w:r>
      <w:proofErr w:type="spellStart"/>
      <w:r>
        <w:t>cjt</w:t>
      </w:r>
      <w:proofErr w:type="spellEnd"/>
      <w:r>
        <w:t>-P’ report.</w:t>
      </w:r>
    </w:p>
    <w:p w:rsidR="00C42F3E" w:rsidRDefault="00040989">
      <w:r>
        <w:rPr>
          <w:rFonts w:hint="eastAsia"/>
          <w:b/>
          <w:i/>
        </w:rPr>
        <w:t>P</w:t>
      </w:r>
      <w:r>
        <w:rPr>
          <w:b/>
          <w:i/>
        </w:rPr>
        <w:t>roposal 6:</w:t>
      </w:r>
      <w:r>
        <w:rPr>
          <w:i/>
        </w:rPr>
        <w:t xml:space="preserve"> </w:t>
      </w:r>
      <w:r>
        <w:rPr>
          <w:i/>
          <w:szCs w:val="20"/>
        </w:rPr>
        <w:t xml:space="preserve">For the Rel-19 aperiodic standalone CJT calibration reporting, when </w:t>
      </w:r>
      <w:proofErr w:type="spellStart"/>
      <w:r>
        <w:rPr>
          <w:i/>
          <w:szCs w:val="20"/>
        </w:rPr>
        <w:t>ReportQuantity</w:t>
      </w:r>
      <w:proofErr w:type="spellEnd"/>
      <w:r>
        <w:rPr>
          <w:i/>
          <w:szCs w:val="20"/>
        </w:rPr>
        <w:t xml:space="preserve"> is ‘</w:t>
      </w:r>
      <w:proofErr w:type="spellStart"/>
      <w:r>
        <w:rPr>
          <w:i/>
          <w:szCs w:val="20"/>
        </w:rPr>
        <w:t>cjtc</w:t>
      </w:r>
      <w:proofErr w:type="spellEnd"/>
      <w:r>
        <w:rPr>
          <w:i/>
          <w:szCs w:val="20"/>
        </w:rPr>
        <w:t xml:space="preserve">-P’ (DL/UL phase offset), </w:t>
      </w:r>
      <w:r>
        <w:rPr>
          <w:rFonts w:eastAsia="Malgun Gothic"/>
          <w:i/>
          <w:szCs w:val="20"/>
        </w:rPr>
        <w:t>when aperiodic SRS resource is configured, UE determines the reference UE antenna port corresponds to the latest SRS occasion triggered by a DCI no later than the DCI triggering the ‘</w:t>
      </w:r>
      <w:proofErr w:type="spellStart"/>
      <w:r>
        <w:rPr>
          <w:rFonts w:eastAsia="Malgun Gothic"/>
          <w:i/>
          <w:szCs w:val="20"/>
        </w:rPr>
        <w:t>cjt</w:t>
      </w:r>
      <w:proofErr w:type="spellEnd"/>
      <w:r>
        <w:rPr>
          <w:rFonts w:eastAsia="Malgun Gothic"/>
          <w:i/>
          <w:szCs w:val="20"/>
        </w:rPr>
        <w:t>-P’ report.</w:t>
      </w:r>
    </w:p>
    <w:p w:rsidR="00C42F3E" w:rsidRDefault="00040989">
      <w:pPr>
        <w:numPr>
          <w:ilvl w:val="1"/>
          <w:numId w:val="8"/>
        </w:numPr>
        <w:snapToGrid w:val="0"/>
        <w:spacing w:afterLines="50" w:line="25" w:lineRule="atLeast"/>
        <w:outlineLvl w:val="1"/>
        <w:rPr>
          <w:b/>
          <w:sz w:val="24"/>
          <w:szCs w:val="20"/>
        </w:rPr>
      </w:pPr>
      <w:r>
        <w:rPr>
          <w:rFonts w:hint="eastAsia"/>
          <w:b/>
          <w:sz w:val="24"/>
          <w:szCs w:val="20"/>
        </w:rPr>
        <w:t>Linage</w:t>
      </w:r>
      <w:r>
        <w:rPr>
          <w:b/>
          <w:sz w:val="24"/>
          <w:szCs w:val="20"/>
        </w:rPr>
        <w:t xml:space="preserve"> between CJT calibration report and CJT </w:t>
      </w:r>
      <w:proofErr w:type="spellStart"/>
      <w:r>
        <w:rPr>
          <w:b/>
          <w:sz w:val="24"/>
          <w:szCs w:val="20"/>
        </w:rPr>
        <w:t>eType</w:t>
      </w:r>
      <w:proofErr w:type="spellEnd"/>
      <w:r>
        <w:rPr>
          <w:b/>
          <w:sz w:val="24"/>
          <w:szCs w:val="20"/>
        </w:rPr>
        <w:t>-II report</w:t>
      </w:r>
    </w:p>
    <w:p w:rsidR="00C42F3E" w:rsidRDefault="00040989">
      <w:pPr>
        <w:pStyle w:val="aff2"/>
        <w:numPr>
          <w:ilvl w:val="2"/>
          <w:numId w:val="8"/>
        </w:numPr>
        <w:snapToGrid w:val="0"/>
        <w:spacing w:beforeLines="30" w:before="72" w:afterLines="30" w:after="72" w:line="300" w:lineRule="auto"/>
        <w:ind w:firstLineChars="0"/>
        <w:textAlignment w:val="center"/>
        <w:outlineLvl w:val="2"/>
        <w:rPr>
          <w:b/>
        </w:rPr>
      </w:pPr>
      <w:r>
        <w:rPr>
          <w:b/>
        </w:rPr>
        <w:t>1-bit indicator for separate triggering</w:t>
      </w:r>
    </w:p>
    <w:p w:rsidR="00C42F3E" w:rsidRDefault="00040989">
      <w:r>
        <w:rPr>
          <w:rFonts w:hint="eastAsia"/>
        </w:rPr>
        <w:t>R</w:t>
      </w:r>
      <w:r>
        <w:t xml:space="preserve">egarding separate triggering of CJT calibration report and CJT </w:t>
      </w:r>
      <w:proofErr w:type="spellStart"/>
      <w:r>
        <w:t>eType</w:t>
      </w:r>
      <w:proofErr w:type="spellEnd"/>
      <w:r>
        <w:t>-II report, the following agreement</w:t>
      </w:r>
      <w:r w:rsidR="001F42B8">
        <w:t xml:space="preserve"> was reached</w:t>
      </w:r>
      <w:r>
        <w:t xml:space="preserve"> in RAN1#118bis meeting.</w:t>
      </w:r>
    </w:p>
    <w:tbl>
      <w:tblPr>
        <w:tblStyle w:val="af9"/>
        <w:tblW w:w="0" w:type="auto"/>
        <w:tblLook w:val="04A0" w:firstRow="1" w:lastRow="0" w:firstColumn="1" w:lastColumn="0" w:noHBand="0" w:noVBand="1"/>
      </w:tblPr>
      <w:tblGrid>
        <w:gridCol w:w="9350"/>
      </w:tblGrid>
      <w:tr w:rsidR="00C42F3E">
        <w:tc>
          <w:tcPr>
            <w:tcW w:w="9350" w:type="dxa"/>
          </w:tcPr>
          <w:p w:rsidR="00C42F3E" w:rsidRDefault="00040989" w:rsidP="00A22029">
            <w:pPr>
              <w:snapToGrid w:val="0"/>
              <w:spacing w:before="0" w:after="0"/>
              <w:rPr>
                <w:rFonts w:eastAsiaTheme="minorEastAsia" w:cs="Times"/>
                <w:b/>
                <w:szCs w:val="20"/>
                <w:u w:val="single"/>
                <w:lang w:eastAsia="ko-KR"/>
              </w:rPr>
            </w:pPr>
            <w:r>
              <w:rPr>
                <w:rFonts w:eastAsiaTheme="minorEastAsia" w:cs="Times" w:hint="eastAsia"/>
                <w:b/>
                <w:szCs w:val="20"/>
                <w:u w:val="single"/>
                <w:lang w:eastAsia="ko-KR"/>
              </w:rPr>
              <w:t>Agreement</w:t>
            </w:r>
            <w:r>
              <w:rPr>
                <w:rFonts w:eastAsiaTheme="minorEastAsia" w:cs="Times"/>
                <w:b/>
                <w:szCs w:val="20"/>
                <w:u w:val="single"/>
                <w:lang w:eastAsia="ko-KR"/>
              </w:rPr>
              <w:t xml:space="preserve"> (RAN1#118bis)</w:t>
            </w:r>
          </w:p>
          <w:p w:rsidR="00C42F3E" w:rsidRDefault="00040989" w:rsidP="00A22029">
            <w:pPr>
              <w:spacing w:before="0" w:after="0"/>
              <w:rPr>
                <w:rFonts w:cs="Times"/>
                <w:szCs w:val="20"/>
              </w:rPr>
            </w:pPr>
            <w:r>
              <w:rPr>
                <w:rFonts w:cs="Times"/>
                <w:szCs w:val="20"/>
              </w:rPr>
              <w:t xml:space="preserve">For the Rel-19 aperiodic standalone CJT calibration (CJTC) reporting, when linking CJTC Dd and Rel-18 </w:t>
            </w:r>
            <w:proofErr w:type="spellStart"/>
            <w:r>
              <w:rPr>
                <w:rFonts w:cs="Times"/>
                <w:szCs w:val="20"/>
              </w:rPr>
              <w:t>eType</w:t>
            </w:r>
            <w:proofErr w:type="spellEnd"/>
            <w:r>
              <w:rPr>
                <w:rFonts w:cs="Times"/>
                <w:szCs w:val="20"/>
              </w:rPr>
              <w:t xml:space="preserve">-II CJT CSI reports is configured with two separate triggers, to indicate </w:t>
            </w:r>
            <w:r>
              <w:rPr>
                <w:rFonts w:cs="Times"/>
                <w:i/>
                <w:szCs w:val="20"/>
              </w:rPr>
              <w:t>whether or not</w:t>
            </w:r>
            <w:r>
              <w:rPr>
                <w:rFonts w:cs="Times"/>
                <w:szCs w:val="20"/>
              </w:rPr>
              <w:t xml:space="preserve"> the UE should perform delay offset (DO) compensation based on the latest linked CJTC Dd report when calculating the Rel-18 </w:t>
            </w:r>
            <w:proofErr w:type="spellStart"/>
            <w:r>
              <w:rPr>
                <w:rFonts w:cs="Times"/>
                <w:szCs w:val="20"/>
              </w:rPr>
              <w:t>eType</w:t>
            </w:r>
            <w:proofErr w:type="spellEnd"/>
            <w:r>
              <w:rPr>
                <w:rFonts w:cs="Times"/>
                <w:szCs w:val="20"/>
              </w:rPr>
              <w:t>-II CJT CSI, introduce a 1-bit indicator per CSI trigger state:</w:t>
            </w:r>
          </w:p>
          <w:p w:rsidR="00C42F3E" w:rsidRDefault="00040989" w:rsidP="00A22029">
            <w:pPr>
              <w:pStyle w:val="aff2"/>
              <w:numPr>
                <w:ilvl w:val="0"/>
                <w:numId w:val="19"/>
              </w:numPr>
              <w:spacing w:before="0" w:after="0"/>
              <w:ind w:firstLineChars="0"/>
              <w:jc w:val="left"/>
              <w:rPr>
                <w:rFonts w:cs="Times"/>
                <w:szCs w:val="20"/>
              </w:rPr>
            </w:pPr>
            <w:r>
              <w:rPr>
                <w:rFonts w:cs="Times"/>
                <w:szCs w:val="20"/>
              </w:rPr>
              <w:t>The 1-bit indicator is an RRC parameter</w:t>
            </w:r>
          </w:p>
          <w:p w:rsidR="00C42F3E" w:rsidRDefault="00040989" w:rsidP="00A22029">
            <w:pPr>
              <w:pStyle w:val="aff2"/>
              <w:numPr>
                <w:ilvl w:val="0"/>
                <w:numId w:val="19"/>
              </w:numPr>
              <w:spacing w:before="0" w:after="0"/>
              <w:ind w:firstLineChars="0"/>
              <w:jc w:val="left"/>
              <w:rPr>
                <w:rFonts w:cs="Times"/>
                <w:szCs w:val="20"/>
              </w:rPr>
            </w:pPr>
            <w:r>
              <w:rPr>
                <w:rFonts w:cs="Times"/>
                <w:szCs w:val="20"/>
              </w:rPr>
              <w:t xml:space="preserve">This is done without increasing the bit-width of the CSI request field of the DCI triggering a Rel-18 CJT </w:t>
            </w:r>
            <w:proofErr w:type="spellStart"/>
            <w:r>
              <w:rPr>
                <w:rFonts w:cs="Times"/>
                <w:szCs w:val="20"/>
              </w:rPr>
              <w:t>eType</w:t>
            </w:r>
            <w:proofErr w:type="spellEnd"/>
            <w:r>
              <w:rPr>
                <w:rFonts w:cs="Times"/>
                <w:szCs w:val="20"/>
              </w:rPr>
              <w:t>-II CJT CSI report</w:t>
            </w:r>
          </w:p>
          <w:p w:rsidR="00C42F3E" w:rsidRDefault="00040989" w:rsidP="00A22029">
            <w:pPr>
              <w:pStyle w:val="aff2"/>
              <w:numPr>
                <w:ilvl w:val="0"/>
                <w:numId w:val="19"/>
              </w:numPr>
              <w:spacing w:before="0" w:after="0"/>
              <w:ind w:firstLineChars="0"/>
              <w:jc w:val="left"/>
              <w:rPr>
                <w:rFonts w:cs="Times"/>
                <w:szCs w:val="20"/>
              </w:rPr>
            </w:pPr>
            <w:r>
              <w:rPr>
                <w:rFonts w:cs="Times"/>
                <w:szCs w:val="20"/>
              </w:rPr>
              <w:t>FFS (RAN1#119): Whether the 1-bit indicator applies to all the N</w:t>
            </w:r>
            <w:r>
              <w:rPr>
                <w:rFonts w:cs="Times"/>
                <w:szCs w:val="20"/>
                <w:vertAlign w:val="subscript"/>
              </w:rPr>
              <w:t>TRP</w:t>
            </w:r>
            <w:r>
              <w:rPr>
                <w:rFonts w:cs="Times"/>
                <w:szCs w:val="20"/>
              </w:rPr>
              <w:t xml:space="preserve"> CSI-RS resources, or to 1-bit indicator per CSI-RS resource</w:t>
            </w:r>
          </w:p>
          <w:p w:rsidR="00C42F3E" w:rsidRDefault="00040989" w:rsidP="00A22029">
            <w:pPr>
              <w:pStyle w:val="aff2"/>
              <w:numPr>
                <w:ilvl w:val="0"/>
                <w:numId w:val="19"/>
              </w:numPr>
              <w:spacing w:before="0" w:after="0"/>
              <w:ind w:firstLineChars="0"/>
              <w:jc w:val="left"/>
              <w:rPr>
                <w:rFonts w:cs="Times"/>
                <w:szCs w:val="20"/>
              </w:rPr>
            </w:pPr>
            <w:r>
              <w:rPr>
                <w:szCs w:val="20"/>
              </w:rPr>
              <w:t xml:space="preserve">FFS (RAN1#119): How this applies to a single CSI trigger state associated with &gt;1 CSI reports  </w:t>
            </w:r>
          </w:p>
        </w:tc>
      </w:tr>
    </w:tbl>
    <w:p w:rsidR="00C42F3E" w:rsidRDefault="00040989">
      <w:r>
        <w:rPr>
          <w:rFonts w:hint="eastAsia"/>
        </w:rPr>
        <w:t>F</w:t>
      </w:r>
      <w:r>
        <w:t>or the first FFS, we did NOT see any necessity of introducing a 1-bit indicator per CSI-RS resource. Based on previous discussion, this indicator is to reflect whether NW successfully received and decoded the CJT calibration report. Then the 1-bit indicator should apply to all the N</w:t>
      </w:r>
      <w:r>
        <w:rPr>
          <w:vertAlign w:val="subscript"/>
        </w:rPr>
        <w:t>TRP</w:t>
      </w:r>
      <w:r>
        <w:t xml:space="preserve"> CSI-RS resources.</w:t>
      </w:r>
    </w:p>
    <w:p w:rsidR="00C42F3E" w:rsidRDefault="00040989">
      <w:pPr>
        <w:rPr>
          <w:iCs/>
        </w:rPr>
      </w:pPr>
      <w:r>
        <w:rPr>
          <w:rFonts w:hint="eastAsia"/>
        </w:rPr>
        <w:t>For</w:t>
      </w:r>
      <w:r>
        <w:t xml:space="preserve"> the second FFS, it is a corner case where one trigger state is associated with </w:t>
      </w:r>
      <w:r w:rsidR="001F42B8">
        <w:t xml:space="preserve">more than one </w:t>
      </w:r>
      <w:r>
        <w:t xml:space="preserve">CJT </w:t>
      </w:r>
      <w:proofErr w:type="spellStart"/>
      <w:r>
        <w:t>eType</w:t>
      </w:r>
      <w:proofErr w:type="spellEnd"/>
      <w:r>
        <w:t>-II report and these reports are</w:t>
      </w:r>
      <w:r w:rsidR="001F42B8">
        <w:t xml:space="preserve"> all</w:t>
      </w:r>
      <w:r>
        <w:t xml:space="preserve"> associated with a CJT calibration report, especially considering that the payload of CJT </w:t>
      </w:r>
      <w:proofErr w:type="spellStart"/>
      <w:r>
        <w:t>eType</w:t>
      </w:r>
      <w:proofErr w:type="spellEnd"/>
      <w:r>
        <w:t xml:space="preserve">-II report is large. However, to avoid any ambiguity, we suggest to include this 1-bit indicator in each </w:t>
      </w:r>
      <w:r>
        <w:rPr>
          <w:i/>
          <w:iCs/>
        </w:rPr>
        <w:t>CSI-</w:t>
      </w:r>
      <w:proofErr w:type="spellStart"/>
      <w:r>
        <w:rPr>
          <w:i/>
          <w:iCs/>
        </w:rPr>
        <w:t>AssociatedReportConfigInfo</w:t>
      </w:r>
      <w:proofErr w:type="spellEnd"/>
      <w:r>
        <w:rPr>
          <w:i/>
          <w:iCs/>
        </w:rPr>
        <w:t xml:space="preserve"> </w:t>
      </w:r>
      <w:r>
        <w:rPr>
          <w:iCs/>
        </w:rPr>
        <w:t xml:space="preserve">associated with the trigger state. Then this 1-bit indicator only applies for the CJT </w:t>
      </w:r>
      <w:proofErr w:type="spellStart"/>
      <w:r>
        <w:rPr>
          <w:iCs/>
        </w:rPr>
        <w:t>eType</w:t>
      </w:r>
      <w:proofErr w:type="spellEnd"/>
      <w:r>
        <w:rPr>
          <w:iCs/>
        </w:rPr>
        <w:t xml:space="preserve">-II report indicated by the </w:t>
      </w:r>
      <w:r>
        <w:rPr>
          <w:i/>
          <w:iCs/>
        </w:rPr>
        <w:t>CSI-</w:t>
      </w:r>
      <w:proofErr w:type="spellStart"/>
      <w:r>
        <w:rPr>
          <w:i/>
          <w:iCs/>
        </w:rPr>
        <w:t>AssociatedReportConfigInfo</w:t>
      </w:r>
      <w:proofErr w:type="spellEnd"/>
      <w:r>
        <w:rPr>
          <w:iCs/>
        </w:rPr>
        <w:t>.</w:t>
      </w:r>
    </w:p>
    <w:p w:rsidR="00C42F3E" w:rsidRDefault="00040989">
      <w:pPr>
        <w:rPr>
          <w:rFonts w:cs="Times"/>
          <w:i/>
          <w:szCs w:val="20"/>
        </w:rPr>
      </w:pPr>
      <w:r>
        <w:rPr>
          <w:rFonts w:hint="eastAsia"/>
          <w:b/>
          <w:i/>
        </w:rPr>
        <w:t>P</w:t>
      </w:r>
      <w:r>
        <w:rPr>
          <w:b/>
          <w:i/>
        </w:rPr>
        <w:t>roposal 7:</w:t>
      </w:r>
      <w:r>
        <w:rPr>
          <w:i/>
        </w:rPr>
        <w:t xml:space="preserve"> </w:t>
      </w:r>
      <w:r>
        <w:rPr>
          <w:i/>
          <w:szCs w:val="20"/>
        </w:rPr>
        <w:t>For the Rel-19 aperiodic standalone CJT calibration reporting,</w:t>
      </w:r>
      <w:r>
        <w:rPr>
          <w:rFonts w:cs="Times"/>
          <w:i/>
          <w:szCs w:val="20"/>
        </w:rPr>
        <w:t xml:space="preserve"> when linking CJTC Dd and Rel-18 </w:t>
      </w:r>
      <w:proofErr w:type="spellStart"/>
      <w:r>
        <w:rPr>
          <w:rFonts w:cs="Times"/>
          <w:i/>
          <w:szCs w:val="20"/>
        </w:rPr>
        <w:t>eType</w:t>
      </w:r>
      <w:proofErr w:type="spellEnd"/>
      <w:r>
        <w:rPr>
          <w:rFonts w:cs="Times"/>
          <w:i/>
          <w:szCs w:val="20"/>
        </w:rPr>
        <w:t xml:space="preserve">-II reports is configured with two separate triggers, to indicate whether or not the UE should perform delay offset (DO) </w:t>
      </w:r>
      <w:r>
        <w:rPr>
          <w:rFonts w:cs="Times"/>
          <w:i/>
          <w:szCs w:val="20"/>
        </w:rPr>
        <w:lastRenderedPageBreak/>
        <w:t xml:space="preserve">compensation based on the latest linked CJTC Dd report when calculating the Rel-18 CJT </w:t>
      </w:r>
      <w:proofErr w:type="spellStart"/>
      <w:r>
        <w:rPr>
          <w:rFonts w:cs="Times"/>
          <w:i/>
          <w:szCs w:val="20"/>
        </w:rPr>
        <w:t>eType</w:t>
      </w:r>
      <w:proofErr w:type="spellEnd"/>
      <w:r>
        <w:rPr>
          <w:rFonts w:cs="Times"/>
          <w:i/>
          <w:szCs w:val="20"/>
        </w:rPr>
        <w:t xml:space="preserve">-II CSI, introduce a 1-bit indicator </w:t>
      </w:r>
      <w:r w:rsidR="009849F2">
        <w:rPr>
          <w:rFonts w:cs="Times"/>
          <w:i/>
          <w:szCs w:val="20"/>
        </w:rPr>
        <w:t>per-</w:t>
      </w:r>
      <w:r>
        <w:rPr>
          <w:i/>
          <w:iCs/>
        </w:rPr>
        <w:t>CSI-</w:t>
      </w:r>
      <w:proofErr w:type="spellStart"/>
      <w:r>
        <w:rPr>
          <w:i/>
          <w:iCs/>
        </w:rPr>
        <w:t>AssociatedReportConfigInfo</w:t>
      </w:r>
      <w:proofErr w:type="spellEnd"/>
      <w:r>
        <w:rPr>
          <w:rFonts w:cs="Times"/>
          <w:i/>
          <w:szCs w:val="20"/>
        </w:rPr>
        <w:t xml:space="preserve"> in CSI trigger state.</w:t>
      </w:r>
    </w:p>
    <w:p w:rsidR="00C42F3E" w:rsidRDefault="00040989">
      <w:pPr>
        <w:pStyle w:val="aff2"/>
        <w:numPr>
          <w:ilvl w:val="0"/>
          <w:numId w:val="12"/>
        </w:numPr>
        <w:ind w:firstLineChars="0"/>
        <w:rPr>
          <w:i/>
        </w:rPr>
      </w:pPr>
      <w:r>
        <w:rPr>
          <w:rFonts w:hint="eastAsia"/>
          <w:i/>
        </w:rPr>
        <w:t>T</w:t>
      </w:r>
      <w:r>
        <w:rPr>
          <w:i/>
        </w:rPr>
        <w:t>his 1-bit indicator applies to all the N</w:t>
      </w:r>
      <w:r>
        <w:rPr>
          <w:i/>
          <w:vertAlign w:val="subscript"/>
        </w:rPr>
        <w:t>TRP</w:t>
      </w:r>
      <w:r>
        <w:rPr>
          <w:i/>
        </w:rPr>
        <w:t xml:space="preserve"> CSI-RS resources.</w:t>
      </w:r>
    </w:p>
    <w:p w:rsidR="00C42F3E" w:rsidRDefault="00040989">
      <w:pPr>
        <w:pStyle w:val="aff2"/>
        <w:numPr>
          <w:ilvl w:val="2"/>
          <w:numId w:val="8"/>
        </w:numPr>
        <w:snapToGrid w:val="0"/>
        <w:spacing w:beforeLines="30" w:before="72" w:afterLines="30" w:after="72" w:line="300" w:lineRule="auto"/>
        <w:ind w:firstLineChars="0"/>
        <w:textAlignment w:val="center"/>
        <w:outlineLvl w:val="2"/>
        <w:rPr>
          <w:b/>
        </w:rPr>
      </w:pPr>
      <w:r>
        <w:rPr>
          <w:rFonts w:hint="eastAsia"/>
          <w:b/>
        </w:rPr>
        <w:t>T</w:t>
      </w:r>
      <w:r>
        <w:rPr>
          <w:b/>
        </w:rPr>
        <w:t>imeline relaxation for joint triggering</w:t>
      </w:r>
    </w:p>
    <w:p w:rsidR="00C42F3E" w:rsidRDefault="00040989">
      <w:r>
        <w:rPr>
          <w:rFonts w:hint="eastAsia"/>
        </w:rPr>
        <w:t>R</w:t>
      </w:r>
      <w:r>
        <w:t>egarding timeline relaxation for joint triggering, the following proposal was discussed in the pre-RAN1#119 offline discussion.</w:t>
      </w:r>
    </w:p>
    <w:tbl>
      <w:tblPr>
        <w:tblStyle w:val="af9"/>
        <w:tblW w:w="0" w:type="auto"/>
        <w:tblLook w:val="04A0" w:firstRow="1" w:lastRow="0" w:firstColumn="1" w:lastColumn="0" w:noHBand="0" w:noVBand="1"/>
      </w:tblPr>
      <w:tblGrid>
        <w:gridCol w:w="9350"/>
      </w:tblGrid>
      <w:tr w:rsidR="00C42F3E">
        <w:tc>
          <w:tcPr>
            <w:tcW w:w="9350" w:type="dxa"/>
          </w:tcPr>
          <w:p w:rsidR="00C42F3E" w:rsidRDefault="00040989" w:rsidP="00A22029">
            <w:pPr>
              <w:spacing w:before="0" w:after="0"/>
              <w:rPr>
                <w:rFonts w:eastAsia="Malgun Gothic"/>
                <w:szCs w:val="16"/>
                <w:lang w:val="en-GB"/>
              </w:rPr>
            </w:pPr>
            <w:r>
              <w:rPr>
                <w:rFonts w:eastAsia="Malgun Gothic"/>
                <w:b/>
                <w:szCs w:val="16"/>
                <w:u w:val="single"/>
                <w:lang w:val="en-GB"/>
              </w:rPr>
              <w:t>Proposal 3.B (Pre RAN1#119 offline)</w:t>
            </w:r>
          </w:p>
          <w:p w:rsidR="00C42F3E" w:rsidRDefault="00040989" w:rsidP="00A22029">
            <w:pPr>
              <w:spacing w:before="0" w:after="0"/>
              <w:rPr>
                <w:rFonts w:ascii="Times" w:eastAsia="Batang" w:hAnsi="Times"/>
                <w:szCs w:val="20"/>
                <w:lang w:val="en-GB" w:eastAsia="en-US"/>
              </w:rPr>
            </w:pPr>
            <w:r>
              <w:rPr>
                <w:rFonts w:ascii="Times" w:eastAsia="Calibri" w:hAnsi="Times"/>
                <w:szCs w:val="20"/>
                <w:lang w:val="en-GB" w:eastAsia="en-US"/>
              </w:rPr>
              <w:t>For the Rel-19 aperiodic standalone CJT calibration (CJTC) reporting,</w:t>
            </w:r>
            <w:r>
              <w:rPr>
                <w:rFonts w:ascii="Times" w:eastAsia="Batang" w:hAnsi="Times"/>
                <w:szCs w:val="20"/>
                <w:lang w:val="en-GB" w:eastAsia="en-US"/>
              </w:rPr>
              <w:t xml:space="preserve"> when linking CJTC Dd and Rel-18 </w:t>
            </w:r>
            <w:proofErr w:type="spellStart"/>
            <w:r>
              <w:rPr>
                <w:rFonts w:ascii="Times" w:eastAsia="Batang" w:hAnsi="Times"/>
                <w:szCs w:val="20"/>
                <w:lang w:val="en-GB" w:eastAsia="en-US"/>
              </w:rPr>
              <w:t>eType</w:t>
            </w:r>
            <w:proofErr w:type="spellEnd"/>
            <w:r>
              <w:rPr>
                <w:rFonts w:ascii="Times" w:eastAsia="Batang" w:hAnsi="Times"/>
                <w:szCs w:val="20"/>
                <w:lang w:val="en-GB" w:eastAsia="en-US"/>
              </w:rPr>
              <w:t xml:space="preserve">-II CJT CSI reports is configured with a joint trigger, the timeline (Z/Z’) is determined as Z/Z’ associated with the Rel-18 </w:t>
            </w:r>
            <w:proofErr w:type="spellStart"/>
            <w:r>
              <w:rPr>
                <w:rFonts w:ascii="Times" w:eastAsia="Batang" w:hAnsi="Times"/>
                <w:szCs w:val="20"/>
                <w:lang w:val="en-GB" w:eastAsia="en-US"/>
              </w:rPr>
              <w:t>eType</w:t>
            </w:r>
            <w:proofErr w:type="spellEnd"/>
            <w:r>
              <w:rPr>
                <w:rFonts w:ascii="Times" w:eastAsia="Batang" w:hAnsi="Times"/>
                <w:szCs w:val="20"/>
                <w:lang w:val="en-GB" w:eastAsia="en-US"/>
              </w:rPr>
              <w:t xml:space="preserve">-II CJT, plus </w:t>
            </w:r>
            <w:proofErr w:type="spellStart"/>
            <w:r>
              <w:rPr>
                <w:rFonts w:ascii="Times" w:eastAsia="Batang" w:hAnsi="Times"/>
                <w:szCs w:val="20"/>
                <w:lang w:val="en-GB" w:eastAsia="en-US"/>
              </w:rPr>
              <w:t>D</w:t>
            </w:r>
            <w:r>
              <w:rPr>
                <w:rFonts w:ascii="Times" w:eastAsia="Batang" w:hAnsi="Times"/>
                <w:szCs w:val="20"/>
                <w:vertAlign w:val="subscript"/>
                <w:lang w:val="en-GB" w:eastAsia="en-US"/>
              </w:rPr>
              <w:t>relax</w:t>
            </w:r>
            <w:proofErr w:type="spellEnd"/>
            <w:r>
              <w:rPr>
                <w:rFonts w:ascii="Times" w:eastAsia="Batang" w:hAnsi="Times"/>
                <w:szCs w:val="20"/>
                <w:lang w:val="en-GB" w:eastAsia="en-US"/>
              </w:rPr>
              <w:t xml:space="preserve"> </w:t>
            </w:r>
          </w:p>
          <w:p w:rsidR="00C42F3E" w:rsidRDefault="00040989" w:rsidP="00A22029">
            <w:pPr>
              <w:numPr>
                <w:ilvl w:val="0"/>
                <w:numId w:val="20"/>
              </w:numPr>
              <w:spacing w:before="0" w:after="0"/>
              <w:contextualSpacing/>
              <w:rPr>
                <w:rFonts w:ascii="Times" w:eastAsia="Batang" w:hAnsi="Times"/>
                <w:szCs w:val="20"/>
                <w:lang w:val="en-GB" w:eastAsia="en-US"/>
              </w:rPr>
            </w:pPr>
            <w:r>
              <w:rPr>
                <w:rFonts w:ascii="Times" w:eastAsia="Batang" w:hAnsi="Times"/>
                <w:szCs w:val="20"/>
                <w:lang w:val="en-GB" w:eastAsia="en-US"/>
              </w:rPr>
              <w:t xml:space="preserve">The value of </w:t>
            </w:r>
            <w:proofErr w:type="spellStart"/>
            <w:r>
              <w:rPr>
                <w:rFonts w:ascii="Times" w:eastAsia="Batang" w:hAnsi="Times"/>
                <w:szCs w:val="20"/>
                <w:lang w:val="en-GB" w:eastAsia="en-US"/>
              </w:rPr>
              <w:t>D</w:t>
            </w:r>
            <w:r>
              <w:rPr>
                <w:rFonts w:ascii="Times" w:eastAsia="Batang" w:hAnsi="Times"/>
                <w:szCs w:val="20"/>
                <w:vertAlign w:val="subscript"/>
                <w:lang w:val="en-GB" w:eastAsia="en-US"/>
              </w:rPr>
              <w:t>relax</w:t>
            </w:r>
            <w:proofErr w:type="spellEnd"/>
            <w:r>
              <w:rPr>
                <w:rFonts w:ascii="Times" w:eastAsia="Batang" w:hAnsi="Times"/>
                <w:szCs w:val="20"/>
                <w:lang w:val="en-GB" w:eastAsia="en-US"/>
              </w:rPr>
              <w:t xml:space="preserve"> is a UE capability, taken from {0, </w:t>
            </w:r>
            <w:proofErr w:type="spellStart"/>
            <w:r>
              <w:rPr>
                <w:rFonts w:ascii="Times" w:eastAsia="Batang" w:hAnsi="Times"/>
                <w:szCs w:val="20"/>
                <w:lang w:val="en-GB" w:eastAsia="en-US"/>
              </w:rPr>
              <w:t>d</w:t>
            </w:r>
            <w:r>
              <w:rPr>
                <w:rFonts w:ascii="Times" w:eastAsia="Batang" w:hAnsi="Times"/>
                <w:szCs w:val="20"/>
                <w:vertAlign w:val="subscript"/>
                <w:lang w:val="en-GB" w:eastAsia="en-US"/>
              </w:rPr>
              <w:t>relax</w:t>
            </w:r>
            <w:proofErr w:type="spellEnd"/>
            <w:r>
              <w:rPr>
                <w:rFonts w:ascii="Times" w:eastAsia="Batang" w:hAnsi="Times"/>
                <w:szCs w:val="20"/>
                <w:lang w:val="en-GB" w:eastAsia="en-US"/>
              </w:rPr>
              <w:t>}</w:t>
            </w:r>
          </w:p>
          <w:p w:rsidR="00C42F3E" w:rsidRDefault="00040989" w:rsidP="00A22029">
            <w:pPr>
              <w:numPr>
                <w:ilvl w:val="1"/>
                <w:numId w:val="20"/>
              </w:numPr>
              <w:spacing w:before="0" w:after="0"/>
              <w:contextualSpacing/>
              <w:rPr>
                <w:rFonts w:ascii="Times" w:eastAsia="Batang" w:hAnsi="Times"/>
                <w:szCs w:val="20"/>
                <w:lang w:val="en-GB" w:eastAsia="en-US"/>
              </w:rPr>
            </w:pPr>
            <w:r>
              <w:rPr>
                <w:rFonts w:ascii="Times" w:eastAsia="Batang" w:hAnsi="Times"/>
                <w:szCs w:val="20"/>
                <w:lang w:val="en-GB" w:eastAsia="en-US"/>
              </w:rPr>
              <w:t xml:space="preserve">FFS: The value of </w:t>
            </w:r>
            <w:proofErr w:type="spellStart"/>
            <w:r>
              <w:rPr>
                <w:rFonts w:ascii="Times" w:eastAsia="Batang" w:hAnsi="Times"/>
                <w:szCs w:val="20"/>
                <w:lang w:val="en-GB" w:eastAsia="en-US"/>
              </w:rPr>
              <w:t>d</w:t>
            </w:r>
            <w:r>
              <w:rPr>
                <w:rFonts w:ascii="Times" w:eastAsia="Batang" w:hAnsi="Times"/>
                <w:szCs w:val="20"/>
                <w:vertAlign w:val="subscript"/>
                <w:lang w:val="en-GB" w:eastAsia="en-US"/>
              </w:rPr>
              <w:t>relax</w:t>
            </w:r>
            <w:proofErr w:type="spellEnd"/>
            <w:r>
              <w:rPr>
                <w:rFonts w:ascii="Times" w:eastAsia="Batang" w:hAnsi="Times"/>
                <w:szCs w:val="20"/>
                <w:lang w:val="en-GB" w:eastAsia="en-US"/>
              </w:rPr>
              <w:t xml:space="preserve"> (&gt;0), including whether it depends on SCS</w:t>
            </w:r>
          </w:p>
          <w:p w:rsidR="00C42F3E" w:rsidRDefault="00040989" w:rsidP="00A22029">
            <w:pPr>
              <w:numPr>
                <w:ilvl w:val="0"/>
                <w:numId w:val="20"/>
              </w:numPr>
              <w:spacing w:before="0" w:after="0"/>
              <w:contextualSpacing/>
              <w:rPr>
                <w:rFonts w:ascii="Times" w:eastAsia="Batang" w:hAnsi="Times"/>
                <w:szCs w:val="20"/>
                <w:lang w:val="en-GB" w:eastAsia="en-US"/>
              </w:rPr>
            </w:pPr>
            <w:r>
              <w:rPr>
                <w:rFonts w:ascii="Times" w:eastAsia="Batang" w:hAnsi="Times"/>
                <w:szCs w:val="20"/>
                <w:lang w:val="en-GB" w:eastAsia="en-US"/>
              </w:rPr>
              <w:t xml:space="preserve">For linking CJTC Dd and Rel-18 </w:t>
            </w:r>
            <w:proofErr w:type="spellStart"/>
            <w:r>
              <w:rPr>
                <w:rFonts w:ascii="Times" w:eastAsia="Batang" w:hAnsi="Times"/>
                <w:szCs w:val="20"/>
                <w:lang w:val="en-GB" w:eastAsia="en-US"/>
              </w:rPr>
              <w:t>eType</w:t>
            </w:r>
            <w:proofErr w:type="spellEnd"/>
            <w:r>
              <w:rPr>
                <w:rFonts w:ascii="Times" w:eastAsia="Batang" w:hAnsi="Times"/>
                <w:szCs w:val="20"/>
                <w:lang w:val="en-GB" w:eastAsia="en-US"/>
              </w:rPr>
              <w:t>-II CJT CSI, j</w:t>
            </w:r>
            <w:r>
              <w:rPr>
                <w:rFonts w:ascii="Times" w:eastAsia="Batang" w:hAnsi="Times" w:cs="Times"/>
                <w:szCs w:val="20"/>
                <w:lang w:val="en-GB" w:eastAsia="en-US"/>
              </w:rPr>
              <w:t>oint triggering is a separate UE feature group from separate triggering</w:t>
            </w:r>
          </w:p>
        </w:tc>
      </w:tr>
    </w:tbl>
    <w:p w:rsidR="00C42F3E" w:rsidRDefault="00040989">
      <w:pPr>
        <w:rPr>
          <w:rFonts w:eastAsia="Batang"/>
          <w:szCs w:val="20"/>
          <w:lang w:val="en-GB" w:eastAsia="en-US"/>
        </w:rPr>
      </w:pPr>
      <w:r>
        <w:t>When the ‘</w:t>
      </w:r>
      <w:proofErr w:type="spellStart"/>
      <w:r>
        <w:t>cjt</w:t>
      </w:r>
      <w:proofErr w:type="spellEnd"/>
      <w:r>
        <w:t xml:space="preserve">-Dd’ report and CJT </w:t>
      </w:r>
      <w:proofErr w:type="spellStart"/>
      <w:r>
        <w:t>eType</w:t>
      </w:r>
      <w:proofErr w:type="spellEnd"/>
      <w:r>
        <w:t>-II report are jointly triggered, it is straightforward that UE would firstly process the ‘</w:t>
      </w:r>
      <w:proofErr w:type="spellStart"/>
      <w:r>
        <w:t>cjt</w:t>
      </w:r>
      <w:proofErr w:type="spellEnd"/>
      <w:r>
        <w:t xml:space="preserve">-Dd’ report and then process the CJT </w:t>
      </w:r>
      <w:proofErr w:type="spellStart"/>
      <w:r>
        <w:t>eType</w:t>
      </w:r>
      <w:proofErr w:type="spellEnd"/>
      <w:r>
        <w:t>-II report based on the ‘</w:t>
      </w:r>
      <w:proofErr w:type="spellStart"/>
      <w:r>
        <w:t>cjt</w:t>
      </w:r>
      <w:proofErr w:type="spellEnd"/>
      <w:r>
        <w:t xml:space="preserve">-Dd’ report. So, the timeline (Z/Z’) should be extended to adapt the processing procedure. Regarding the value of </w:t>
      </w:r>
      <w:proofErr w:type="spellStart"/>
      <w:r>
        <w:rPr>
          <w:rFonts w:eastAsia="Batang"/>
          <w:szCs w:val="20"/>
          <w:lang w:val="en-GB" w:eastAsia="en-US"/>
        </w:rPr>
        <w:t>d</w:t>
      </w:r>
      <w:r>
        <w:rPr>
          <w:rFonts w:eastAsia="Batang"/>
          <w:szCs w:val="20"/>
          <w:vertAlign w:val="subscript"/>
          <w:lang w:val="en-GB" w:eastAsia="en-US"/>
        </w:rPr>
        <w:t>relax</w:t>
      </w:r>
      <w:proofErr w:type="spellEnd"/>
      <w:r>
        <w:rPr>
          <w:rFonts w:eastAsia="Batang"/>
          <w:szCs w:val="20"/>
          <w:lang w:val="en-GB" w:eastAsia="en-US"/>
        </w:rPr>
        <w:t xml:space="preserve">, we prefer </w:t>
      </w:r>
      <w:proofErr w:type="spellStart"/>
      <w:r>
        <w:rPr>
          <w:rFonts w:eastAsia="Batang"/>
          <w:szCs w:val="20"/>
          <w:lang w:val="en-GB" w:eastAsia="en-US"/>
        </w:rPr>
        <w:t>d</w:t>
      </w:r>
      <w:r>
        <w:rPr>
          <w:rFonts w:eastAsia="Batang"/>
          <w:szCs w:val="20"/>
          <w:vertAlign w:val="subscript"/>
          <w:lang w:val="en-GB" w:eastAsia="en-US"/>
        </w:rPr>
        <w:t>relax</w:t>
      </w:r>
      <w:proofErr w:type="spellEnd"/>
      <w:r>
        <w:rPr>
          <w:rFonts w:eastAsia="Batang"/>
          <w:szCs w:val="20"/>
          <w:lang w:val="en-GB" w:eastAsia="en-US"/>
        </w:rPr>
        <w:t xml:space="preserve"> = </w:t>
      </w:r>
      <w:r>
        <w:t>Z</w:t>
      </w:r>
      <w:r>
        <w:rPr>
          <w:vertAlign w:val="subscript"/>
        </w:rPr>
        <w:t>2</w:t>
      </w:r>
      <w:r>
        <w:t>/Z</w:t>
      </w:r>
      <w:r>
        <w:rPr>
          <w:vertAlign w:val="subscript"/>
        </w:rPr>
        <w:t>2</w:t>
      </w:r>
      <w:r>
        <w:t>’ (Z/Z’ for ‘</w:t>
      </w:r>
      <w:proofErr w:type="spellStart"/>
      <w:r>
        <w:t>cjt</w:t>
      </w:r>
      <w:proofErr w:type="spellEnd"/>
      <w:r>
        <w:t xml:space="preserve">-Dd’ report), or smaller values, such as </w:t>
      </w:r>
      <w:proofErr w:type="spellStart"/>
      <w:r>
        <w:rPr>
          <w:rFonts w:eastAsia="Batang"/>
          <w:szCs w:val="20"/>
          <w:lang w:val="en-GB" w:eastAsia="en-US"/>
        </w:rPr>
        <w:t>d</w:t>
      </w:r>
      <w:r>
        <w:rPr>
          <w:rFonts w:eastAsia="Batang"/>
          <w:szCs w:val="20"/>
          <w:vertAlign w:val="subscript"/>
          <w:lang w:val="en-GB" w:eastAsia="en-US"/>
        </w:rPr>
        <w:t>relax</w:t>
      </w:r>
      <w:proofErr w:type="spellEnd"/>
      <w:r>
        <w:rPr>
          <w:rFonts w:eastAsia="Batang"/>
          <w:szCs w:val="20"/>
          <w:lang w:val="en-GB" w:eastAsia="en-US"/>
        </w:rPr>
        <w:t xml:space="preserve"> = </w:t>
      </w:r>
      <m:oMath>
        <m:f>
          <m:fPr>
            <m:ctrlPr>
              <w:rPr>
                <w:rFonts w:ascii="Cambria Math" w:eastAsia="Batang" w:hAnsi="Cambria Math"/>
                <w:szCs w:val="20"/>
                <w:lang w:val="en-GB" w:eastAsia="en-US"/>
              </w:rPr>
            </m:ctrlPr>
          </m:fPr>
          <m:num>
            <m:r>
              <w:rPr>
                <w:rFonts w:ascii="Cambria Math" w:eastAsia="Batang" w:hAnsi="Cambria Math"/>
                <w:szCs w:val="20"/>
                <w:lang w:val="en-GB" w:eastAsia="en-US"/>
              </w:rPr>
              <m:t>1</m:t>
            </m:r>
          </m:num>
          <m:den>
            <m:r>
              <w:rPr>
                <w:rFonts w:ascii="Cambria Math" w:eastAsia="Batang" w:hAnsi="Cambria Math"/>
                <w:szCs w:val="20"/>
                <w:lang w:val="en-GB" w:eastAsia="en-US"/>
              </w:rPr>
              <m:t>2</m:t>
            </m:r>
          </m:den>
        </m:f>
        <m:d>
          <m:dPr>
            <m:ctrlPr>
              <w:rPr>
                <w:rFonts w:ascii="Cambria Math" w:eastAsiaTheme="minorEastAsia" w:hAnsi="Cambria Math"/>
                <w:szCs w:val="20"/>
                <w:lang w:val="en-GB"/>
              </w:rPr>
            </m:ctrlPr>
          </m:dPr>
          <m:e>
            <m:sSub>
              <m:sSubPr>
                <m:ctrlPr>
                  <w:rPr>
                    <w:rFonts w:ascii="Cambria Math" w:eastAsiaTheme="minorEastAsia" w:hAnsi="Cambria Math"/>
                    <w:i/>
                    <w:szCs w:val="20"/>
                    <w:lang w:val="en-GB"/>
                  </w:rPr>
                </m:ctrlPr>
              </m:sSubPr>
              <m:e>
                <m:r>
                  <w:rPr>
                    <w:rFonts w:ascii="Cambria Math" w:eastAsiaTheme="minorEastAsia" w:hAnsi="Cambria Math"/>
                    <w:szCs w:val="20"/>
                    <w:lang w:val="en-GB"/>
                  </w:rPr>
                  <m:t>Z</m:t>
                </m:r>
              </m:e>
              <m:sub>
                <m:r>
                  <w:rPr>
                    <w:rFonts w:ascii="Cambria Math" w:eastAsiaTheme="minorEastAsia" w:hAnsi="Cambria Math"/>
                    <w:szCs w:val="20"/>
                    <w:lang w:val="en-GB"/>
                  </w:rPr>
                  <m:t>2</m:t>
                </m:r>
              </m:sub>
            </m:sSub>
            <m:r>
              <w:rPr>
                <w:rFonts w:ascii="Cambria Math" w:eastAsiaTheme="minorEastAsia" w:hAnsi="Cambria Math"/>
                <w:szCs w:val="20"/>
                <w:lang w:val="en-GB"/>
              </w:rPr>
              <m:t>/</m:t>
            </m:r>
            <m:sSubSup>
              <m:sSubSupPr>
                <m:ctrlPr>
                  <w:rPr>
                    <w:rFonts w:ascii="Cambria Math" w:eastAsiaTheme="minorEastAsia" w:hAnsi="Cambria Math"/>
                    <w:i/>
                    <w:szCs w:val="20"/>
                    <w:lang w:val="en-GB"/>
                  </w:rPr>
                </m:ctrlPr>
              </m:sSubSupPr>
              <m:e>
                <m:r>
                  <w:rPr>
                    <w:rFonts w:ascii="Cambria Math" w:eastAsiaTheme="minorEastAsia" w:hAnsi="Cambria Math"/>
                    <w:szCs w:val="20"/>
                    <w:lang w:val="en-GB"/>
                  </w:rPr>
                  <m:t>Z</m:t>
                </m:r>
              </m:e>
              <m:sub>
                <m:r>
                  <w:rPr>
                    <w:rFonts w:ascii="Cambria Math" w:eastAsiaTheme="minorEastAsia" w:hAnsi="Cambria Math"/>
                    <w:szCs w:val="20"/>
                    <w:lang w:val="en-GB"/>
                  </w:rPr>
                  <m:t>2</m:t>
                </m:r>
              </m:sub>
              <m:sup>
                <m:r>
                  <w:rPr>
                    <w:rFonts w:ascii="Cambria Math" w:eastAsiaTheme="minorEastAsia" w:hAnsi="Cambria Math"/>
                    <w:szCs w:val="20"/>
                    <w:lang w:val="en-GB"/>
                  </w:rPr>
                  <m:t>'</m:t>
                </m:r>
              </m:sup>
            </m:sSubSup>
          </m:e>
        </m:d>
      </m:oMath>
      <w:r>
        <w:rPr>
          <w:rFonts w:eastAsia="Batang"/>
          <w:szCs w:val="20"/>
          <w:lang w:val="en-GB" w:eastAsia="en-US"/>
        </w:rPr>
        <w:t xml:space="preserve"> or d</w:t>
      </w:r>
      <w:r>
        <w:rPr>
          <w:rFonts w:eastAsia="Batang"/>
          <w:szCs w:val="20"/>
          <w:vertAlign w:val="subscript"/>
          <w:lang w:val="en-GB" w:eastAsia="en-US"/>
        </w:rPr>
        <w:t>relax</w:t>
      </w:r>
      <w:r>
        <w:rPr>
          <w:rFonts w:eastAsia="Batang"/>
          <w:szCs w:val="20"/>
          <w:lang w:val="en-GB" w:eastAsia="en-US"/>
        </w:rPr>
        <w:t xml:space="preserve"> = </w:t>
      </w:r>
      <w:r>
        <w:t>Z</w:t>
      </w:r>
      <w:r>
        <w:rPr>
          <w:vertAlign w:val="subscript"/>
        </w:rPr>
        <w:t>1</w:t>
      </w:r>
      <w:r>
        <w:t>/Z</w:t>
      </w:r>
      <w:r>
        <w:rPr>
          <w:vertAlign w:val="subscript"/>
        </w:rPr>
        <w:t>1</w:t>
      </w:r>
      <w:r>
        <w:t>’.</w:t>
      </w:r>
    </w:p>
    <w:p w:rsidR="00C42F3E" w:rsidRDefault="00040989">
      <w:pPr>
        <w:rPr>
          <w:i/>
        </w:rPr>
      </w:pPr>
      <w:r>
        <w:rPr>
          <w:rFonts w:hint="eastAsia"/>
          <w:b/>
          <w:i/>
        </w:rPr>
        <w:t>P</w:t>
      </w:r>
      <w:r>
        <w:rPr>
          <w:b/>
          <w:i/>
        </w:rPr>
        <w:t>roposal 8:</w:t>
      </w:r>
      <w:r>
        <w:rPr>
          <w:i/>
        </w:rPr>
        <w:t xml:space="preserve"> Support offline Proposal 3.B.</w:t>
      </w:r>
    </w:p>
    <w:p w:rsidR="00C42F3E" w:rsidRDefault="00040989">
      <w:pPr>
        <w:pStyle w:val="aff2"/>
        <w:numPr>
          <w:ilvl w:val="0"/>
          <w:numId w:val="12"/>
        </w:numPr>
        <w:ind w:firstLineChars="0"/>
        <w:rPr>
          <w:i/>
        </w:rPr>
      </w:pPr>
      <w:proofErr w:type="spellStart"/>
      <w:r>
        <w:rPr>
          <w:rFonts w:eastAsia="Batang"/>
          <w:i/>
          <w:szCs w:val="20"/>
          <w:lang w:val="en-GB" w:eastAsia="en-US"/>
        </w:rPr>
        <w:t>d</w:t>
      </w:r>
      <w:r>
        <w:rPr>
          <w:rFonts w:eastAsia="Batang"/>
          <w:i/>
          <w:szCs w:val="20"/>
          <w:vertAlign w:val="subscript"/>
          <w:lang w:val="en-GB" w:eastAsia="en-US"/>
        </w:rPr>
        <w:t>relax</w:t>
      </w:r>
      <w:proofErr w:type="spellEnd"/>
      <w:r>
        <w:rPr>
          <w:rFonts w:eastAsia="Batang"/>
          <w:i/>
          <w:szCs w:val="20"/>
          <w:lang w:val="en-GB" w:eastAsia="en-US"/>
        </w:rPr>
        <w:t xml:space="preserve"> is down-selected from {</w:t>
      </w:r>
      <w:r>
        <w:rPr>
          <w:i/>
        </w:rPr>
        <w:t>Z</w:t>
      </w:r>
      <w:r>
        <w:rPr>
          <w:i/>
          <w:vertAlign w:val="subscript"/>
        </w:rPr>
        <w:t>2</w:t>
      </w:r>
      <w:r>
        <w:rPr>
          <w:i/>
        </w:rPr>
        <w:t>/Z</w:t>
      </w:r>
      <w:r>
        <w:rPr>
          <w:i/>
          <w:vertAlign w:val="subscript"/>
        </w:rPr>
        <w:t>2</w:t>
      </w:r>
      <w:r>
        <w:rPr>
          <w:i/>
        </w:rPr>
        <w:t xml:space="preserve">’, </w:t>
      </w:r>
      <m:oMath>
        <m:f>
          <m:fPr>
            <m:ctrlPr>
              <w:rPr>
                <w:rFonts w:ascii="Cambria Math" w:eastAsia="Batang" w:hAnsi="Cambria Math"/>
                <w:i/>
                <w:szCs w:val="20"/>
                <w:lang w:val="en-GB" w:eastAsia="en-US"/>
              </w:rPr>
            </m:ctrlPr>
          </m:fPr>
          <m:num>
            <m:r>
              <w:rPr>
                <w:rFonts w:ascii="Cambria Math" w:eastAsia="Batang" w:hAnsi="Cambria Math"/>
                <w:szCs w:val="20"/>
                <w:lang w:val="en-GB" w:eastAsia="en-US"/>
              </w:rPr>
              <m:t>1</m:t>
            </m:r>
          </m:num>
          <m:den>
            <m:r>
              <w:rPr>
                <w:rFonts w:ascii="Cambria Math" w:eastAsia="Batang" w:hAnsi="Cambria Math"/>
                <w:szCs w:val="20"/>
                <w:lang w:val="en-GB" w:eastAsia="en-US"/>
              </w:rPr>
              <m:t>2</m:t>
            </m:r>
          </m:den>
        </m:f>
        <m:d>
          <m:dPr>
            <m:ctrlPr>
              <w:rPr>
                <w:rFonts w:ascii="Cambria Math" w:eastAsiaTheme="minorEastAsia" w:hAnsi="Cambria Math"/>
                <w:i/>
                <w:szCs w:val="20"/>
                <w:lang w:val="en-GB"/>
              </w:rPr>
            </m:ctrlPr>
          </m:dPr>
          <m:e>
            <m:sSub>
              <m:sSubPr>
                <m:ctrlPr>
                  <w:rPr>
                    <w:rFonts w:ascii="Cambria Math" w:eastAsiaTheme="minorEastAsia" w:hAnsi="Cambria Math"/>
                    <w:i/>
                    <w:szCs w:val="20"/>
                    <w:lang w:val="en-GB"/>
                  </w:rPr>
                </m:ctrlPr>
              </m:sSubPr>
              <m:e>
                <m:r>
                  <w:rPr>
                    <w:rFonts w:ascii="Cambria Math" w:eastAsiaTheme="minorEastAsia" w:hAnsi="Cambria Math"/>
                    <w:szCs w:val="20"/>
                    <w:lang w:val="en-GB"/>
                  </w:rPr>
                  <m:t>Z</m:t>
                </m:r>
              </m:e>
              <m:sub>
                <m:r>
                  <w:rPr>
                    <w:rFonts w:ascii="Cambria Math" w:eastAsiaTheme="minorEastAsia" w:hAnsi="Cambria Math"/>
                    <w:szCs w:val="20"/>
                    <w:lang w:val="en-GB"/>
                  </w:rPr>
                  <m:t>2</m:t>
                </m:r>
              </m:sub>
            </m:sSub>
            <m:r>
              <w:rPr>
                <w:rFonts w:ascii="Cambria Math" w:eastAsiaTheme="minorEastAsia" w:hAnsi="Cambria Math"/>
                <w:szCs w:val="20"/>
                <w:lang w:val="en-GB"/>
              </w:rPr>
              <m:t>/</m:t>
            </m:r>
            <m:sSubSup>
              <m:sSubSupPr>
                <m:ctrlPr>
                  <w:rPr>
                    <w:rFonts w:ascii="Cambria Math" w:eastAsiaTheme="minorEastAsia" w:hAnsi="Cambria Math"/>
                    <w:i/>
                    <w:szCs w:val="20"/>
                    <w:lang w:val="en-GB"/>
                  </w:rPr>
                </m:ctrlPr>
              </m:sSubSupPr>
              <m:e>
                <m:r>
                  <w:rPr>
                    <w:rFonts w:ascii="Cambria Math" w:eastAsiaTheme="minorEastAsia" w:hAnsi="Cambria Math"/>
                    <w:szCs w:val="20"/>
                    <w:lang w:val="en-GB"/>
                  </w:rPr>
                  <m:t>Z</m:t>
                </m:r>
              </m:e>
              <m:sub>
                <m:r>
                  <w:rPr>
                    <w:rFonts w:ascii="Cambria Math" w:eastAsiaTheme="minorEastAsia" w:hAnsi="Cambria Math"/>
                    <w:szCs w:val="20"/>
                    <w:lang w:val="en-GB"/>
                  </w:rPr>
                  <m:t>2</m:t>
                </m:r>
              </m:sub>
              <m:sup>
                <m:r>
                  <w:rPr>
                    <w:rFonts w:ascii="Cambria Math" w:eastAsiaTheme="minorEastAsia" w:hAnsi="Cambria Math"/>
                    <w:szCs w:val="20"/>
                    <w:lang w:val="en-GB"/>
                  </w:rPr>
                  <m:t>'</m:t>
                </m:r>
              </m:sup>
            </m:sSubSup>
          </m:e>
        </m:d>
      </m:oMath>
      <w:r>
        <w:rPr>
          <w:rFonts w:hint="eastAsia"/>
          <w:i/>
          <w:szCs w:val="20"/>
          <w:lang w:val="en-GB"/>
        </w:rPr>
        <w:t>,</w:t>
      </w:r>
      <w:r>
        <w:rPr>
          <w:i/>
          <w:szCs w:val="20"/>
          <w:lang w:val="en-GB"/>
        </w:rPr>
        <w:t xml:space="preserve"> </w:t>
      </w:r>
      <w:r>
        <w:rPr>
          <w:i/>
        </w:rPr>
        <w:t>Z</w:t>
      </w:r>
      <w:r>
        <w:rPr>
          <w:i/>
          <w:vertAlign w:val="subscript"/>
        </w:rPr>
        <w:t>1</w:t>
      </w:r>
      <w:r>
        <w:rPr>
          <w:i/>
        </w:rPr>
        <w:t>/Z</w:t>
      </w:r>
      <w:r>
        <w:rPr>
          <w:i/>
          <w:vertAlign w:val="subscript"/>
        </w:rPr>
        <w:t>1</w:t>
      </w:r>
      <w:r>
        <w:rPr>
          <w:i/>
        </w:rPr>
        <w:t>’</w:t>
      </w:r>
      <w:r>
        <w:rPr>
          <w:rFonts w:eastAsia="Batang"/>
          <w:i/>
          <w:szCs w:val="20"/>
          <w:lang w:val="en-GB" w:eastAsia="en-US"/>
        </w:rPr>
        <w:t>}.</w:t>
      </w:r>
    </w:p>
    <w:p w:rsidR="00C42F3E" w:rsidRDefault="00040989">
      <w:pPr>
        <w:pStyle w:val="aff2"/>
        <w:numPr>
          <w:ilvl w:val="2"/>
          <w:numId w:val="8"/>
        </w:numPr>
        <w:snapToGrid w:val="0"/>
        <w:spacing w:beforeLines="30" w:before="72" w:afterLines="30" w:after="72" w:line="300" w:lineRule="auto"/>
        <w:ind w:firstLineChars="0"/>
        <w:textAlignment w:val="center"/>
        <w:outlineLvl w:val="2"/>
        <w:rPr>
          <w:b/>
        </w:rPr>
      </w:pPr>
      <w:r>
        <w:rPr>
          <w:b/>
        </w:rPr>
        <w:t xml:space="preserve">Linkage between FO report and CJT </w:t>
      </w:r>
      <w:proofErr w:type="spellStart"/>
      <w:r>
        <w:rPr>
          <w:b/>
        </w:rPr>
        <w:t>eType</w:t>
      </w:r>
      <w:proofErr w:type="spellEnd"/>
      <w:r>
        <w:rPr>
          <w:b/>
        </w:rPr>
        <w:t>-II report</w:t>
      </w:r>
    </w:p>
    <w:p w:rsidR="00C42F3E" w:rsidRDefault="00040989">
      <w:r>
        <w:rPr>
          <w:rFonts w:hint="eastAsia"/>
        </w:rPr>
        <w:t>A</w:t>
      </w:r>
      <w:r>
        <w:t xml:space="preserve">s similar to the linkage between DO report and CJT </w:t>
      </w:r>
      <w:proofErr w:type="spellStart"/>
      <w:r>
        <w:t>eType</w:t>
      </w:r>
      <w:proofErr w:type="spellEnd"/>
      <w:r>
        <w:t xml:space="preserve">-II report, linking FO report with CJT </w:t>
      </w:r>
      <w:proofErr w:type="spellStart"/>
      <w:r>
        <w:t>eType</w:t>
      </w:r>
      <w:proofErr w:type="spellEnd"/>
      <w:r>
        <w:t xml:space="preserve">-II report is also necessary. The large FO (up to 0.2 ppm) between TRPs would cause fast phase changing of the channel. Since the CSI-RS resources of CJT </w:t>
      </w:r>
      <w:proofErr w:type="spellStart"/>
      <w:r>
        <w:t>eType</w:t>
      </w:r>
      <w:proofErr w:type="spellEnd"/>
      <w:r>
        <w:t xml:space="preserve">-II report are allocated on different time locations, the phase changing would reflect in the channels derived from different CSI-RS resources. To accurately calculate the CJT </w:t>
      </w:r>
      <w:proofErr w:type="spellStart"/>
      <w:r>
        <w:t>eType</w:t>
      </w:r>
      <w:proofErr w:type="spellEnd"/>
      <w:r>
        <w:t>-</w:t>
      </w:r>
      <w:r>
        <w:rPr>
          <w:rFonts w:hint="eastAsia"/>
        </w:rPr>
        <w:t>II</w:t>
      </w:r>
      <w:r>
        <w:t xml:space="preserve"> CSI, especially the CQI, UE needs to perform DO pre-compensation to mitigate the phase changing.</w:t>
      </w:r>
    </w:p>
    <w:p w:rsidR="00C42F3E" w:rsidRDefault="00040989">
      <w:r>
        <w:rPr>
          <w:rFonts w:hint="eastAsia"/>
        </w:rPr>
        <w:t>F</w:t>
      </w:r>
      <w:r>
        <w:t>igure 3 shows the SLS for non-pre-compensated CJT and UE-specific DO/FO pre-compensated CJT. It is observed that, UE-specific FO pre-compensation CJT (130.26% performance for cell-edge UE, 107.77% performance in average) outperforms non-pre-compensated CJT (100% performance for cell-edge UE, 100% performance in average) and DO pre-compensated CJT (127.18% performance for cell-edge UE, 106.61% performance in average), and both DO and FO pre-compensated CJT provides the best performance (156.41% performance for cell-edge UE, 117.81% performance in average). These results clearly suggest the necessity of UE-specific FO pre-compensation.</w:t>
      </w:r>
    </w:p>
    <w:p w:rsidR="00C42F3E" w:rsidRDefault="00040989">
      <w:pPr>
        <w:jc w:val="center"/>
      </w:pPr>
      <w:r>
        <w:rPr>
          <w:noProof/>
        </w:rPr>
        <w:lastRenderedPageBreak/>
        <w:drawing>
          <wp:inline distT="0" distB="0" distL="114300" distR="114300">
            <wp:extent cx="3239770" cy="1896745"/>
            <wp:effectExtent l="0" t="0" r="17780" b="8255"/>
            <wp:docPr id="14"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hart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239770" cy="1896745"/>
                    </a:xfrm>
                    <a:prstGeom prst="rect">
                      <a:avLst/>
                    </a:prstGeom>
                    <a:noFill/>
                    <a:ln>
                      <a:noFill/>
                    </a:ln>
                  </pic:spPr>
                </pic:pic>
              </a:graphicData>
            </a:graphic>
          </wp:inline>
        </w:drawing>
      </w:r>
    </w:p>
    <w:p w:rsidR="00C42F3E" w:rsidRDefault="00040989">
      <w:pPr>
        <w:jc w:val="center"/>
      </w:pPr>
      <w:r>
        <w:rPr>
          <w:b/>
        </w:rPr>
        <w:t>Figure 3</w:t>
      </w:r>
      <w:r>
        <w:t xml:space="preserve"> SLS throughput results for non-compensated CJT and UE-specific DO/FO pre-compensated CJT</w:t>
      </w:r>
    </w:p>
    <w:p w:rsidR="00C42F3E" w:rsidRDefault="00040989">
      <w:pPr>
        <w:rPr>
          <w:i/>
          <w:szCs w:val="20"/>
        </w:rPr>
      </w:pPr>
      <w:r>
        <w:rPr>
          <w:rFonts w:hint="eastAsia"/>
          <w:b/>
          <w:i/>
        </w:rPr>
        <w:t>P</w:t>
      </w:r>
      <w:r>
        <w:rPr>
          <w:b/>
          <w:i/>
        </w:rPr>
        <w:t xml:space="preserve">roposal 9: </w:t>
      </w:r>
      <w:r>
        <w:rPr>
          <w:i/>
          <w:szCs w:val="20"/>
        </w:rPr>
        <w:t xml:space="preserve">For the Rel-19 aperiodic standalone CJT calibration reporting, support the linkage between CJT calibration FO report and CJT </w:t>
      </w:r>
      <w:proofErr w:type="spellStart"/>
      <w:r>
        <w:rPr>
          <w:i/>
          <w:szCs w:val="20"/>
        </w:rPr>
        <w:t>eType</w:t>
      </w:r>
      <w:proofErr w:type="spellEnd"/>
      <w:r>
        <w:rPr>
          <w:i/>
          <w:szCs w:val="20"/>
        </w:rPr>
        <w:t>-II report.</w:t>
      </w:r>
    </w:p>
    <w:p w:rsidR="00C42F3E" w:rsidRDefault="00040989">
      <w:pPr>
        <w:pStyle w:val="aff2"/>
        <w:numPr>
          <w:ilvl w:val="0"/>
          <w:numId w:val="12"/>
        </w:numPr>
        <w:ind w:firstLineChars="0"/>
        <w:rPr>
          <w:i/>
        </w:rPr>
      </w:pPr>
      <w:r>
        <w:rPr>
          <w:rFonts w:hint="eastAsia"/>
          <w:i/>
        </w:rPr>
        <w:t>R</w:t>
      </w:r>
      <w:r>
        <w:rPr>
          <w:i/>
        </w:rPr>
        <w:t xml:space="preserve">euse all the mechanisms of linking CJT calibration DO report and CJT </w:t>
      </w:r>
      <w:proofErr w:type="spellStart"/>
      <w:r>
        <w:rPr>
          <w:i/>
        </w:rPr>
        <w:t>eType</w:t>
      </w:r>
      <w:proofErr w:type="spellEnd"/>
      <w:r>
        <w:rPr>
          <w:i/>
        </w:rPr>
        <w:t xml:space="preserve">-II report, including separate triggering and joint triggering. </w:t>
      </w:r>
    </w:p>
    <w:p w:rsidR="00C42F3E" w:rsidRDefault="00040989">
      <w:pPr>
        <w:pStyle w:val="aff2"/>
        <w:numPr>
          <w:ilvl w:val="2"/>
          <w:numId w:val="8"/>
        </w:numPr>
        <w:snapToGrid w:val="0"/>
        <w:spacing w:beforeLines="30" w:before="72" w:afterLines="30" w:after="72" w:line="300" w:lineRule="auto"/>
        <w:ind w:firstLineChars="0"/>
        <w:textAlignment w:val="center"/>
        <w:outlineLvl w:val="2"/>
        <w:rPr>
          <w:b/>
        </w:rPr>
      </w:pPr>
      <w:r>
        <w:rPr>
          <w:b/>
        </w:rPr>
        <w:t>Precoding assumption for CSI calculation</w:t>
      </w:r>
    </w:p>
    <w:p w:rsidR="00C42F3E" w:rsidRDefault="00040989">
      <w:pPr>
        <w:pStyle w:val="aff2"/>
        <w:snapToGrid w:val="0"/>
        <w:spacing w:beforeLines="50" w:afterLines="50" w:line="240" w:lineRule="exact"/>
        <w:ind w:firstLineChars="0" w:firstLine="0"/>
        <w:rPr>
          <w:bCs/>
          <w:szCs w:val="20"/>
        </w:rPr>
      </w:pPr>
      <w:r>
        <w:rPr>
          <w:bCs/>
          <w:szCs w:val="20"/>
        </w:rPr>
        <w:t xml:space="preserve">As discussed in above, UE needs to consider DO/FO pre-compensation in CJT </w:t>
      </w:r>
      <w:proofErr w:type="spellStart"/>
      <w:r>
        <w:rPr>
          <w:bCs/>
          <w:szCs w:val="20"/>
        </w:rPr>
        <w:t>eType</w:t>
      </w:r>
      <w:proofErr w:type="spellEnd"/>
      <w:r>
        <w:rPr>
          <w:bCs/>
          <w:szCs w:val="20"/>
        </w:rPr>
        <w:t>-II calculation. In this case, the final precoder is determined by UE-reported DO/FO and CJT PMI. Therefore, new precoding assumptions are needed when DO/FO pre-compensation is considered.</w:t>
      </w:r>
    </w:p>
    <w:p w:rsidR="00C42F3E" w:rsidRDefault="00040989">
      <w:pPr>
        <w:pStyle w:val="aff2"/>
        <w:numPr>
          <w:ilvl w:val="0"/>
          <w:numId w:val="21"/>
        </w:numPr>
        <w:ind w:firstLineChars="0"/>
        <w:rPr>
          <w:bCs/>
          <w:szCs w:val="20"/>
        </w:rPr>
      </w:pPr>
      <w:r>
        <w:rPr>
          <w:bCs/>
          <w:szCs w:val="20"/>
        </w:rPr>
        <w:t>If the DO is pre-compensated, the real precoder is determined by the CJT PMI and the DO. The precoding assumption can be expressed as</w:t>
      </w:r>
    </w:p>
    <w:p w:rsidR="00C42F3E" w:rsidRDefault="000E1D71">
      <w:pPr>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C42F3E" w:rsidRDefault="00040989">
      <w:pPr>
        <w:pStyle w:val="aff2"/>
        <w:numPr>
          <w:ilvl w:val="0"/>
          <w:numId w:val="21"/>
        </w:numPr>
        <w:ind w:firstLineChars="0"/>
        <w:rPr>
          <w:bCs/>
          <w:szCs w:val="20"/>
        </w:rPr>
      </w:pPr>
      <w:r>
        <w:rPr>
          <w:bCs/>
          <w:szCs w:val="20"/>
        </w:rPr>
        <w:t>If the FO is pre-compensated, the real precoder is determined by the CJT PMI and the FO. The precoding assumption can be expressed as</w:t>
      </w:r>
    </w:p>
    <w:p w:rsidR="00C42F3E" w:rsidRDefault="000E1D71">
      <w:pPr>
        <w:pStyle w:val="ListParagraph1"/>
        <w:spacing w:afterLines="50" w:after="120"/>
        <w:ind w:left="840" w:firstLineChars="0" w:firstLine="0"/>
        <w:jc w:val="center"/>
        <w:rPr>
          <w:sz w:val="20"/>
          <w:szCs w:val="20"/>
        </w:rPr>
      </w:pPr>
      <m:oMathPara>
        <m:oMath>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eqArr>
                      <m:eqArrPr>
                        <m:ctrlPr>
                          <w:rPr>
                            <w:rFonts w:ascii="Cambria Math" w:hAnsi="Cambria Math"/>
                            <w:sz w:val="20"/>
                            <w:szCs w:val="20"/>
                          </w:rPr>
                        </m:ctrlPr>
                      </m:eqArrP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up>
                            <m:d>
                              <m:dPr>
                                <m:ctrlPr>
                                  <w:rPr>
                                    <w:rFonts w:ascii="Cambria Math" w:hAnsi="Cambria Math"/>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
                        <m:r>
                          <m:rPr>
                            <m:sty m:val="p"/>
                          </m:rPr>
                          <w:rPr>
                            <w:rFonts w:ascii="Cambria Math" w:hAnsi="Cambria Math"/>
                            <w:sz w:val="20"/>
                            <w:szCs w:val="20"/>
                          </w:rPr>
                          <m:t>⋮</m:t>
                        </m:r>
                        <m:ctrlPr>
                          <w:rPr>
                            <w:rFonts w:ascii="Cambria Math" w:eastAsia="Cambria Math" w:hAnsi="Cambria Math"/>
                            <w:sz w:val="20"/>
                            <w:szCs w:val="20"/>
                          </w:rPr>
                        </m:ctrlPr>
                      </m:e>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P</m:t>
                                </m:r>
                                <m:r>
                                  <m:rPr>
                                    <m:sty m:val="p"/>
                                  </m:rPr>
                                  <w:rPr>
                                    <w:rFonts w:ascii="Cambria Math" w:hAnsi="Cambria Math"/>
                                    <w:sz w:val="20"/>
                                    <w:szCs w:val="20"/>
                                  </w:rPr>
                                  <m:t>-1</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qArr>
                  </m:e>
                </m:mr>
                <m:mr>
                  <m:e>
                    <m:m>
                      <m:mPr>
                        <m:mcs>
                          <m:mc>
                            <m:mcPr>
                              <m:count m:val="1"/>
                              <m:mcJc m:val="center"/>
                            </m:mcPr>
                          </m:mc>
                        </m:mcs>
                        <m:ctrlPr>
                          <w:rPr>
                            <w:rFonts w:ascii="Cambria Math" w:hAnsi="Cambria Math"/>
                            <w:sz w:val="20"/>
                            <w:szCs w:val="20"/>
                          </w:rPr>
                        </m:ctrlPr>
                      </m:mPr>
                      <m:m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up>
                              <m:d>
                                <m:dPr>
                                  <m:ctrlPr>
                                    <w:rPr>
                                      <w:rFonts w:ascii="Cambria Math" w:hAnsi="Cambria Math"/>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ctrlPr>
                            <w:rPr>
                              <w:rFonts w:ascii="Cambria Math" w:eastAsia="Cambria Math" w:hAnsi="Cambria Math"/>
                              <w:sz w:val="20"/>
                              <w:szCs w:val="20"/>
                            </w:rPr>
                          </m:ctrlPr>
                        </m:e>
                      </m:mr>
                      <m:mr>
                        <m:e>
                          <m:r>
                            <m:rPr>
                              <m:sty m:val="p"/>
                            </m:rPr>
                            <w:rPr>
                              <w:rFonts w:ascii="Cambria Math" w:eastAsia="Cambria Math" w:hAnsi="Cambria Math"/>
                              <w:sz w:val="20"/>
                              <w:szCs w:val="20"/>
                            </w:rPr>
                            <m:t>⋮</m:t>
                          </m:r>
                          <m:ctrlPr>
                            <w:rPr>
                              <w:rFonts w:ascii="Cambria Math" w:eastAsia="Cambria Math" w:hAnsi="Cambria Math"/>
                              <w:sz w:val="20"/>
                              <w:szCs w:val="20"/>
                            </w:rPr>
                          </m:ctrlPr>
                        </m:e>
                      </m:mr>
                      <m:m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P</m:t>
                                  </m:r>
                                  <m:r>
                                    <m:rPr>
                                      <m:sty m:val="p"/>
                                    </m:rPr>
                                    <w:rPr>
                                      <w:rFonts w:ascii="Cambria Math" w:hAnsi="Cambria Math"/>
                                      <w:sz w:val="20"/>
                                      <w:szCs w:val="20"/>
                                    </w:rPr>
                                    <m:t>-1</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ctrlPr>
                            <w:rPr>
                              <w:rFonts w:ascii="Cambria Math" w:eastAsia="Cambria Math" w:hAnsi="Cambria Math"/>
                              <w:sz w:val="20"/>
                              <w:szCs w:val="20"/>
                            </w:rPr>
                          </m:ctrlPr>
                        </m:e>
                      </m:mr>
                      <m:mr>
                        <m:e>
                          <m:r>
                            <m:rPr>
                              <m:sty m:val="p"/>
                            </m:rPr>
                            <w:rPr>
                              <w:rFonts w:ascii="Cambria Math" w:hAnsi="Cambria Math"/>
                              <w:sz w:val="20"/>
                              <w:szCs w:val="20"/>
                            </w:rPr>
                            <m:t>⋮</m:t>
                          </m:r>
                        </m:e>
                      </m:mr>
                      <m:mr>
                        <m:e>
                          <m:eqArr>
                            <m:eqArrPr>
                              <m:ctrlPr>
                                <w:rPr>
                                  <w:rFonts w:ascii="Cambria Math" w:hAnsi="Cambria Math"/>
                                  <w:sz w:val="20"/>
                                  <w:szCs w:val="20"/>
                                </w:rPr>
                              </m:ctrlPr>
                            </m:eqArrPr>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up>
                                  <m:d>
                                    <m:dPr>
                                      <m:ctrlPr>
                                        <w:rPr>
                                          <w:rFonts w:ascii="Cambria Math" w:hAnsi="Cambria Math"/>
                                          <w:sz w:val="20"/>
                                          <w:szCs w:val="20"/>
                                        </w:rPr>
                                      </m:ctrlPr>
                                    </m:dPr>
                                    <m:e>
                                      <m:r>
                                        <m:rPr>
                                          <m:sty m:val="p"/>
                                        </m:rPr>
                                        <w:rPr>
                                          <w:rFonts w:ascii="Cambria Math" w:hAnsi="Cambria Math"/>
                                          <w:sz w:val="20"/>
                                          <w:szCs w:val="20"/>
                                        </w:rPr>
                                        <m:t>3000</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
                              <m:r>
                                <m:rPr>
                                  <m:sty m:val="p"/>
                                </m:rPr>
                                <w:rPr>
                                  <w:rFonts w:ascii="Cambria Math" w:hAnsi="Cambria Math"/>
                                  <w:sz w:val="20"/>
                                  <w:szCs w:val="20"/>
                                </w:rPr>
                                <m:t>⋮</m:t>
                              </m:r>
                              <m:ctrlPr>
                                <w:rPr>
                                  <w:rFonts w:ascii="Cambria Math" w:eastAsia="Cambria Math" w:hAnsi="Cambria Math"/>
                                  <w:sz w:val="20"/>
                                  <w:szCs w:val="20"/>
                                </w:rPr>
                              </m:ctrlPr>
                            </m:e>
                            <m:e>
                              <m:sSubSup>
                                <m:sSubSupPr>
                                  <m:ctrlPr>
                                    <w:rPr>
                                      <w:rFonts w:ascii="Cambria Math" w:hAnsi="Cambria Math"/>
                                      <w:sz w:val="20"/>
                                      <w:szCs w:val="20"/>
                                    </w:rPr>
                                  </m:ctrlPr>
                                </m:sSubSupPr>
                                <m:e>
                                  <m:r>
                                    <w:rPr>
                                      <w:rFonts w:ascii="Cambria Math" w:hAnsi="Cambria Math"/>
                                      <w:sz w:val="20"/>
                                      <w:szCs w:val="20"/>
                                    </w:rPr>
                                    <m:t>y</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up>
                                  <m:d>
                                    <m:dPr>
                                      <m:ctrlPr>
                                        <w:rPr>
                                          <w:rFonts w:ascii="Cambria Math" w:hAnsi="Cambria Math"/>
                                          <w:sz w:val="20"/>
                                          <w:szCs w:val="20"/>
                                        </w:rPr>
                                      </m:ctrlPr>
                                    </m:dPr>
                                    <m:e>
                                      <m:r>
                                        <m:rPr>
                                          <m:sty m:val="p"/>
                                        </m:rPr>
                                        <w:rPr>
                                          <w:rFonts w:ascii="Cambria Math" w:hAnsi="Cambria Math"/>
                                          <w:sz w:val="20"/>
                                          <w:szCs w:val="20"/>
                                        </w:rPr>
                                        <m:t>3000+</m:t>
                                      </m:r>
                                      <m:r>
                                        <w:rPr>
                                          <w:rFonts w:ascii="Cambria Math" w:hAnsi="Cambria Math"/>
                                          <w:sz w:val="20"/>
                                          <w:szCs w:val="20"/>
                                        </w:rPr>
                                        <m:t>P</m:t>
                                      </m:r>
                                      <m:r>
                                        <m:rPr>
                                          <m:sty m:val="p"/>
                                        </m:rPr>
                                        <w:rPr>
                                          <w:rFonts w:ascii="Cambria Math" w:hAnsi="Cambria Math"/>
                                          <w:sz w:val="20"/>
                                          <w:szCs w:val="20"/>
                                        </w:rPr>
                                        <m:t>-1</m:t>
                                      </m:r>
                                    </m:e>
                                  </m:d>
                                </m:sup>
                              </m:sSubSup>
                              <m:r>
                                <m:rPr>
                                  <m:sty m:val="p"/>
                                </m:rPr>
                                <w:rPr>
                                  <w:rFonts w:ascii="Cambria Math" w:hAnsi="Cambria Math"/>
                                  <w:sz w:val="20"/>
                                  <w:szCs w:val="20"/>
                                </w:rPr>
                                <m:t>(</m:t>
                              </m:r>
                              <m:r>
                                <w:rPr>
                                  <w:rFonts w:ascii="Cambria Math" w:hAnsi="Cambria Math"/>
                                  <w:sz w:val="20"/>
                                  <w:szCs w:val="20"/>
                                </w:rPr>
                                <m:t>k,l</m:t>
                              </m:r>
                              <m:r>
                                <m:rPr>
                                  <m:sty m:val="p"/>
                                </m:rPr>
                                <w:rPr>
                                  <w:rFonts w:ascii="Cambria Math" w:hAnsi="Cambria Math"/>
                                  <w:sz w:val="20"/>
                                  <w:szCs w:val="20"/>
                                </w:rPr>
                                <m:t>)</m:t>
                              </m:r>
                            </m:e>
                          </m:eqArr>
                        </m:e>
                      </m:mr>
                    </m:m>
                  </m:e>
                </m:mr>
              </m:m>
            </m:e>
          </m:d>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-j2π(l-</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Sub>
                          </m:sup>
                        </m:sSup>
                        <m:r>
                          <w:rPr>
                            <w:rFonts w:ascii="Cambria Math" w:hAnsi="Cambria Math"/>
                            <w:sz w:val="20"/>
                            <w:szCs w:val="20"/>
                          </w:rPr>
                          <m:t>W</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1</m:t>
                            </m:r>
                          </m:sub>
                        </m:sSub>
                      </m:sub>
                    </m:sSub>
                  </m:e>
                </m:mr>
                <m:m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-j2π(l-</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Sub>
                      </m:sup>
                    </m:sSup>
                    <m:sSub>
                      <m:sSubPr>
                        <m:ctrlPr>
                          <w:rPr>
                            <w:rFonts w:ascii="Cambria Math" w:hAnsi="Cambria Math"/>
                            <w:sz w:val="20"/>
                            <w:szCs w:val="20"/>
                          </w:rPr>
                        </m:ctrlPr>
                      </m:sSubPr>
                      <m:e>
                        <m:r>
                          <w:rPr>
                            <w:rFonts w:ascii="Cambria Math" w:hAnsi="Cambria Math"/>
                            <w:sz w:val="20"/>
                            <w:szCs w:val="20"/>
                          </w:rPr>
                          <m:t>W</m:t>
                        </m:r>
                      </m:e>
                      <m:sub>
                        <m:sSub>
                          <m:sSubPr>
                            <m:ctrlPr>
                              <w:rPr>
                                <w:rFonts w:ascii="Cambria Math" w:hAnsi="Cambria Math"/>
                                <w:sz w:val="20"/>
                                <w:szCs w:val="20"/>
                              </w:rPr>
                            </m:ctrlPr>
                          </m:sSubPr>
                          <m:e>
                            <m:r>
                              <w:rPr>
                                <w:rFonts w:ascii="Cambria Math" w:hAnsi="Cambria Math"/>
                                <w:sz w:val="20"/>
                                <w:szCs w:val="20"/>
                              </w:rPr>
                              <m:t>σ</m:t>
                            </m:r>
                          </m:e>
                          <m:sub>
                            <m:r>
                              <m:rPr>
                                <m:sty m:val="p"/>
                              </m:rPr>
                              <w:rPr>
                                <w:rFonts w:ascii="Cambria Math" w:hAnsi="Cambria Math"/>
                                <w:sz w:val="20"/>
                                <w:szCs w:val="20"/>
                              </w:rPr>
                              <m:t>2</m:t>
                            </m:r>
                          </m:sub>
                        </m:sSub>
                      </m:sub>
                    </m:sSub>
                  </m:e>
                </m:mr>
                <m:mr>
                  <m:e>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-j2π(l-</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Sub>
                      </m:sup>
                    </m:sSup>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m:t>
                          </m:r>
                        </m:e>
                      </m:mr>
                      <m:mr>
                        <m:e>
                          <m:sSub>
                            <m:sSubPr>
                              <m:ctrlPr>
                                <w:rPr>
                                  <w:rFonts w:ascii="Cambria Math" w:hAnsi="Cambria Math"/>
                                  <w:sz w:val="20"/>
                                  <w:szCs w:val="20"/>
                                </w:rPr>
                              </m:ctrlPr>
                            </m:sSubPr>
                            <m:e>
                              <m:r>
                                <w:rPr>
                                  <w:rFonts w:ascii="Cambria Math" w:hAnsi="Cambria Math"/>
                                  <w:sz w:val="20"/>
                                  <w:szCs w:val="20"/>
                                </w:rPr>
                                <m:t>W</m:t>
                              </m:r>
                            </m:e>
                            <m:sub>
                              <m:sSub>
                                <m:sSubPr>
                                  <m:ctrlPr>
                                    <w:rPr>
                                      <w:rFonts w:ascii="Cambria Math" w:hAnsi="Cambria Math"/>
                                      <w:sz w:val="20"/>
                                      <w:szCs w:val="20"/>
                                    </w:rPr>
                                  </m:ctrlPr>
                                </m:sSubPr>
                                <m:e>
                                  <m:r>
                                    <w:rPr>
                                      <w:rFonts w:ascii="Cambria Math" w:hAnsi="Cambria Math"/>
                                      <w:sz w:val="20"/>
                                      <w:szCs w:val="20"/>
                                    </w:rPr>
                                    <m:t>σ</m:t>
                                  </m:r>
                                </m:e>
                                <m: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sub>
                              </m:sSub>
                            </m:sub>
                          </m:sSub>
                        </m:e>
                      </m:mr>
                    </m:m>
                  </m:e>
                </m:mr>
              </m:m>
            </m:e>
          </m:d>
          <m:d>
            <m:dPr>
              <m:begChr m:val="["/>
              <m:endChr m:val="]"/>
              <m:ctrlPr>
                <w:rPr>
                  <w:rFonts w:ascii="Cambria Math" w:hAnsi="Cambria Math"/>
                  <w:sz w:val="20"/>
                  <w:szCs w:val="20"/>
                </w:rPr>
              </m:ctrlPr>
            </m:dPr>
            <m:e>
              <m:eqArr>
                <m:eqArrPr>
                  <m:ctrlPr>
                    <w:rPr>
                      <w:rFonts w:ascii="Cambria Math" w:hAnsi="Cambria Math"/>
                      <w:sz w:val="20"/>
                      <w:szCs w:val="20"/>
                    </w:rPr>
                  </m:ctrlPr>
                </m:eqArrPr>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m:rPr>
                              <m:sty m:val="p"/>
                            </m:rPr>
                            <w:rPr>
                              <w:rFonts w:ascii="Cambria Math" w:hAnsi="Cambria Math"/>
                              <w:sz w:val="20"/>
                              <w:szCs w:val="20"/>
                            </w:rPr>
                            <m:t>0</m:t>
                          </m:r>
                        </m:e>
                      </m:d>
                    </m:sup>
                  </m:sSup>
                  <m:d>
                    <m:dPr>
                      <m:ctrlPr>
                        <w:rPr>
                          <w:rFonts w:ascii="Cambria Math" w:hAnsi="Cambria Math"/>
                          <w:sz w:val="20"/>
                          <w:szCs w:val="20"/>
                        </w:rPr>
                      </m:ctrlPr>
                    </m:dPr>
                    <m:e>
                      <m:r>
                        <w:rPr>
                          <w:rFonts w:ascii="Cambria Math" w:hAnsi="Cambria Math"/>
                          <w:sz w:val="20"/>
                          <w:szCs w:val="20"/>
                        </w:rPr>
                        <m:t>k,l</m:t>
                      </m:r>
                    </m:e>
                  </m:d>
                </m:e>
                <m:e>
                  <m:r>
                    <m:rPr>
                      <m:sty m:val="p"/>
                    </m:rPr>
                    <w:rPr>
                      <w:rFonts w:ascii="Cambria Math" w:hAnsi="Cambria Math"/>
                      <w:sz w:val="20"/>
                      <w:szCs w:val="20"/>
                    </w:rPr>
                    <m:t>⋮</m:t>
                  </m:r>
                  <m:ctrlPr>
                    <w:rPr>
                      <w:rFonts w:ascii="Cambria Math" w:eastAsia="Cambria Math" w:hAnsi="Cambria Math"/>
                      <w:sz w:val="20"/>
                      <w:szCs w:val="20"/>
                    </w:rPr>
                  </m:ctrlPr>
                </m:e>
                <m:e>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sz w:val="20"/>
                              <w:szCs w:val="20"/>
                            </w:rPr>
                          </m:ctrlPr>
                        </m:dPr>
                        <m:e>
                          <m:r>
                            <w:rPr>
                              <w:rFonts w:ascii="Cambria Math" w:hAnsi="Cambria Math"/>
                              <w:sz w:val="20"/>
                              <w:szCs w:val="20"/>
                            </w:rPr>
                            <m:t>υ</m:t>
                          </m:r>
                          <m:r>
                            <m:rPr>
                              <m:sty m:val="p"/>
                            </m:rPr>
                            <w:rPr>
                              <w:rFonts w:ascii="Cambria Math" w:hAnsi="Cambria Math"/>
                              <w:sz w:val="20"/>
                              <w:szCs w:val="20"/>
                            </w:rPr>
                            <m:t>-1</m:t>
                          </m:r>
                        </m:e>
                      </m:d>
                    </m:sup>
                  </m:sSup>
                  <m:d>
                    <m:dPr>
                      <m:ctrlPr>
                        <w:rPr>
                          <w:rFonts w:ascii="Cambria Math" w:hAnsi="Cambria Math"/>
                          <w:sz w:val="20"/>
                          <w:szCs w:val="20"/>
                        </w:rPr>
                      </m:ctrlPr>
                    </m:dPr>
                    <m:e>
                      <m:r>
                        <w:rPr>
                          <w:rFonts w:ascii="Cambria Math" w:hAnsi="Cambria Math"/>
                          <w:sz w:val="20"/>
                          <w:szCs w:val="20"/>
                        </w:rPr>
                        <m:t>k,l</m:t>
                      </m:r>
                    </m:e>
                  </m:d>
                </m:e>
              </m:eqArr>
            </m:e>
          </m:d>
        </m:oMath>
      </m:oMathPara>
    </w:p>
    <w:p w:rsidR="00C42F3E" w:rsidRDefault="00040989">
      <w:pPr>
        <w:pStyle w:val="aff2"/>
        <w:ind w:firstLineChars="0" w:firstLine="0"/>
        <w:rPr>
          <w:bCs/>
          <w:szCs w:val="20"/>
        </w:rPr>
      </w:pPr>
      <w:r>
        <w:rPr>
          <w:bCs/>
          <w:szCs w:val="20"/>
        </w:rPr>
        <w:t xml:space="preserve">In the above formulas, </w:t>
      </w:r>
      <m:oMath>
        <m:r>
          <w:rPr>
            <w:rFonts w:ascii="Cambria Math" w:hAnsi="Cambria Math"/>
            <w:szCs w:val="20"/>
          </w:rPr>
          <m:t>y</m:t>
        </m:r>
        <m:d>
          <m:dPr>
            <m:ctrlPr>
              <w:rPr>
                <w:rFonts w:ascii="Cambria Math" w:hAnsi="Cambria Math"/>
                <w:bCs/>
                <w:i/>
                <w:szCs w:val="20"/>
              </w:rPr>
            </m:ctrlPr>
          </m:dPr>
          <m:e>
            <m:r>
              <w:rPr>
                <w:rFonts w:ascii="Cambria Math" w:hAnsi="Cambria Math"/>
                <w:szCs w:val="20"/>
              </w:rPr>
              <m:t>k,l</m:t>
            </m:r>
          </m:e>
        </m:d>
        <m: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m>
                  <m:mPr>
                    <m:mcs>
                      <m:mc>
                        <m:mcPr>
                          <m:count m:val="3"/>
                          <m:mcJc m:val="center"/>
                        </m:mcPr>
                      </m:mc>
                    </m:mcs>
                    <m:ctrlPr>
                      <w:rPr>
                        <w:rFonts w:ascii="Cambria Math" w:hAnsi="Cambria Math"/>
                        <w:bCs/>
                        <w:i/>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w:rPr>
                          <w:rFonts w:ascii="Cambria Math" w:hAnsi="Cambria Math"/>
                          <w:szCs w:val="20"/>
                        </w:rPr>
                        <m:t>⋯</m:t>
                      </m: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mr>
                </m:m>
              </m:e>
            </m:d>
          </m:e>
          <m:sup>
            <m:r>
              <w:rPr>
                <w:rFonts w:ascii="Cambria Math" w:hAnsi="Cambria Math"/>
                <w:szCs w:val="20"/>
              </w:rPr>
              <m:t>T</m:t>
            </m:r>
          </m:sup>
        </m:sSup>
      </m:oMath>
      <w:r>
        <w:rPr>
          <w:szCs w:val="20"/>
        </w:rPr>
        <w:t xml:space="preserve"> is a vector of symbols transmitted on antenna ports </w:t>
      </w:r>
      <m:oMath>
        <m:r>
          <w:rPr>
            <w:rFonts w:ascii="Cambria Math" w:hAnsi="Cambria Math"/>
            <w:szCs w:val="20"/>
          </w:rPr>
          <m:t>[3000,…,3000+P-1]</m:t>
        </m:r>
      </m:oMath>
      <w:r>
        <w:rPr>
          <w:szCs w:val="20"/>
        </w:rPr>
        <w:t xml:space="preserve"> of each of the</w:t>
      </w:r>
      <w:r>
        <w:rPr>
          <w:szCs w:val="20"/>
          <w:lang w:val="en-GB"/>
        </w:rPr>
        <w:t xml:space="preserve"> </w:t>
      </w:r>
      <w:r>
        <w:rPr>
          <w:rFonts w:eastAsia="Calibri"/>
          <w:i/>
          <w:iCs/>
          <w:szCs w:val="20"/>
          <w:lang w:eastAsia="en-GB"/>
        </w:rPr>
        <w:t>N</w:t>
      </w:r>
      <w:r>
        <w:rPr>
          <w:rFonts w:eastAsia="Calibri"/>
          <w:szCs w:val="20"/>
          <w:vertAlign w:val="subscript"/>
          <w:lang w:eastAsia="en-GB"/>
        </w:rPr>
        <w:t>0</w:t>
      </w:r>
      <w:r>
        <w:rPr>
          <w:szCs w:val="20"/>
        </w:rPr>
        <w:t xml:space="preserve"> selected CSI-RS resources corresponding to a frequency point </w:t>
      </w:r>
      <m:oMath>
        <m:r>
          <w:rPr>
            <w:rFonts w:ascii="Cambria Math" w:hAnsi="Cambria Math"/>
            <w:szCs w:val="20"/>
          </w:rPr>
          <m:t>k</m:t>
        </m:r>
      </m:oMath>
      <w:r>
        <w:rPr>
          <w:szCs w:val="20"/>
        </w:rPr>
        <w:t xml:space="preserve"> and a time point </w:t>
      </w:r>
      <m:oMath>
        <m:r>
          <w:rPr>
            <w:rFonts w:ascii="Cambria Math" w:hAnsi="Cambria Math"/>
            <w:szCs w:val="20"/>
          </w:rPr>
          <m:t>l</m:t>
        </m:r>
      </m:oMath>
      <w:r>
        <w:rPr>
          <w:szCs w:val="20"/>
        </w:rPr>
        <w:t>,</w:t>
      </w:r>
      <w:r>
        <w:rPr>
          <w:bCs/>
          <w:szCs w:val="20"/>
        </w:rPr>
        <w:t xml:space="preserve"> </w:t>
      </w:r>
      <m:oMath>
        <m:r>
          <w:rPr>
            <w:rFonts w:ascii="Cambria Math" w:hAnsi="Cambria Math"/>
            <w:szCs w:val="20"/>
          </w:rPr>
          <m:t>x</m:t>
        </m:r>
        <m:d>
          <m:dPr>
            <m:ctrlPr>
              <w:rPr>
                <w:rFonts w:ascii="Cambria Math" w:hAnsi="Cambria Math"/>
                <w:bCs/>
                <w:i/>
                <w:szCs w:val="20"/>
              </w:rPr>
            </m:ctrlPr>
          </m:dPr>
          <m:e>
            <m:r>
              <w:rPr>
                <w:rFonts w:ascii="Cambria Math" w:hAnsi="Cambria Math"/>
                <w:szCs w:val="20"/>
              </w:rPr>
              <m:t>k,l</m:t>
            </m:r>
          </m:e>
        </m:d>
        <m:r>
          <w:rPr>
            <w:rFonts w:ascii="Cambria Math" w:hAnsi="Cambria Math"/>
            <w:szCs w:val="20"/>
          </w:rPr>
          <m:t>=</m:t>
        </m:r>
        <m:sSup>
          <m:sSupPr>
            <m:ctrlPr>
              <w:rPr>
                <w:rFonts w:ascii="Cambria Math" w:hAnsi="Cambria Math"/>
                <w:bCs/>
                <w:i/>
                <w:szCs w:val="20"/>
              </w:rPr>
            </m:ctrlPr>
          </m:sSupPr>
          <m:e>
            <m:d>
              <m:dPr>
                <m:begChr m:val="["/>
                <m:endChr m:val="]"/>
                <m:ctrlPr>
                  <w:rPr>
                    <w:rFonts w:ascii="Cambria Math" w:hAnsi="Cambria Math"/>
                    <w:bCs/>
                    <w:i/>
                    <w:szCs w:val="20"/>
                  </w:rPr>
                </m:ctrlPr>
              </m:dPr>
              <m:e>
                <m:m>
                  <m:mPr>
                    <m:mcs>
                      <m:mc>
                        <m:mcPr>
                          <m:count m:val="3"/>
                          <m:mcJc m:val="center"/>
                        </m:mcPr>
                      </m:mc>
                    </m:mcs>
                    <m:ctrlPr>
                      <w:rPr>
                        <w:rFonts w:ascii="Cambria Math" w:hAnsi="Cambria Math"/>
                        <w:bCs/>
                        <w:i/>
                        <w:szCs w:val="20"/>
                      </w:rPr>
                    </m:ctrlPr>
                  </m:mPr>
                  <m:m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w:rPr>
                          <w:rFonts w:ascii="Cambria Math" w:hAnsi="Cambria Math"/>
                          <w:szCs w:val="20"/>
                        </w:rPr>
                        <m:t>⋯</m:t>
                      </m: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mr>
                </m:m>
              </m:e>
            </m:d>
          </m:e>
          <m:sup>
            <m:r>
              <w:rPr>
                <w:rFonts w:ascii="Cambria Math" w:hAnsi="Cambria Math"/>
                <w:szCs w:val="20"/>
              </w:rPr>
              <m:t>T</m:t>
            </m:r>
          </m:sup>
        </m:sSup>
      </m:oMath>
      <w:r>
        <w:rPr>
          <w:szCs w:val="20"/>
        </w:rPr>
        <w:t xml:space="preserve"> is a vector of PDSCH symbols corresponding to a frequency point </w:t>
      </w:r>
      <m:oMath>
        <m:r>
          <w:rPr>
            <w:rFonts w:ascii="Cambria Math" w:hAnsi="Cambria Math"/>
            <w:szCs w:val="20"/>
          </w:rPr>
          <m:t>k</m:t>
        </m:r>
      </m:oMath>
      <w:r>
        <w:rPr>
          <w:szCs w:val="20"/>
        </w:rPr>
        <w:t xml:space="preserve"> and a time point </w:t>
      </w:r>
      <m:oMath>
        <m:r>
          <w:rPr>
            <w:rFonts w:ascii="Cambria Math" w:hAnsi="Cambria Math"/>
            <w:szCs w:val="20"/>
          </w:rPr>
          <m:t>l</m:t>
        </m:r>
      </m:oMath>
      <w:r>
        <w:rPr>
          <w:szCs w:val="20"/>
        </w:rPr>
        <w:t xml:space="preserve">, </w:t>
      </w:r>
      <w:r>
        <w:rPr>
          <w:position w:val="-8"/>
          <w:szCs w:val="20"/>
        </w:rPr>
        <w:object w:dxaOrig="2031" w:dyaOrig="286">
          <v:shape id="_x0000_i1039" type="#_x0000_t75" style="width:101.5pt;height:14pt" o:ole="">
            <v:imagedata r:id="rId14" o:title=""/>
          </v:shape>
          <o:OLEObject Type="Embed" ProgID="Equation.3" ShapeID="_x0000_i1039" DrawAspect="Content" ObjectID="_1792588758" r:id="rId15"/>
        </w:object>
      </w:r>
      <w:r>
        <w:rPr>
          <w:szCs w:val="20"/>
        </w:rPr>
        <w:t xml:space="preserve"> is the number of CSI-RS ports, </w:t>
      </w:r>
      <w:r>
        <w:rPr>
          <w:color w:val="000000"/>
          <w:szCs w:val="20"/>
        </w:rPr>
        <w:t xml:space="preserv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σ</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r>
          <w:rPr>
            <w:rFonts w:ascii="Cambria Math" w:hAnsi="Cambria Math"/>
            <w:szCs w:val="20"/>
          </w:rPr>
          <m:t>}</m:t>
        </m:r>
      </m:oMath>
      <w:r>
        <w:rPr>
          <w:szCs w:val="20"/>
        </w:rPr>
        <w:t xml:space="preserve"> are the indices of the</w:t>
      </w:r>
      <w:r>
        <w:rPr>
          <w:szCs w:val="20"/>
          <w:lang w:val="en-GB"/>
        </w:rPr>
        <w:t xml:space="preserve"> </w:t>
      </w:r>
      <w:r>
        <w:rPr>
          <w:rFonts w:eastAsia="Calibri"/>
          <w:i/>
          <w:iCs/>
          <w:szCs w:val="20"/>
          <w:lang w:eastAsia="en-GB"/>
        </w:rPr>
        <w:t>N</w:t>
      </w:r>
      <w:r>
        <w:rPr>
          <w:rFonts w:eastAsia="Calibri"/>
          <w:szCs w:val="20"/>
          <w:vertAlign w:val="subscript"/>
          <w:lang w:eastAsia="en-GB"/>
        </w:rPr>
        <w:t>0</w:t>
      </w:r>
      <w:r>
        <w:rPr>
          <w:szCs w:val="20"/>
        </w:rPr>
        <w:t xml:space="preserve"> selected CSI-RS resources in increasing order, such that </w:t>
      </w:r>
      <m:oMath>
        <m:r>
          <w:rPr>
            <w:rFonts w:ascii="Cambria Math" w:hAnsi="Cambria Math"/>
            <w:szCs w:val="20"/>
          </w:rPr>
          <m:t>1≤</m:t>
        </m:r>
        <m:sSub>
          <m:sSubPr>
            <m:ctrlPr>
              <w:rPr>
                <w:rFonts w:ascii="Cambria Math" w:hAnsi="Cambria Math"/>
                <w:i/>
                <w:szCs w:val="20"/>
              </w:rPr>
            </m:ctrlPr>
          </m:sSubPr>
          <m:e>
            <m:r>
              <w:rPr>
                <w:rFonts w:ascii="Cambria Math" w:hAnsi="Cambria Math"/>
                <w:szCs w:val="20"/>
              </w:rPr>
              <m:t>σ</m:t>
            </m:r>
          </m:e>
          <m:sub>
            <m:r>
              <w:rPr>
                <w:rFonts w:ascii="Cambria Math" w:hAnsi="Cambria Math"/>
                <w:szCs w:val="20"/>
              </w:rPr>
              <m:t>1</m:t>
            </m:r>
          </m:sub>
        </m:sSub>
        <m:r>
          <w:rPr>
            <w:rFonts w:ascii="Cambria Math" w:hAnsi="Cambria Math"/>
            <w:szCs w:val="20"/>
          </w:rPr>
          <m:t>&lt;…&lt;</m:t>
        </m:r>
        <m:sSub>
          <m:sSubPr>
            <m:ctrlPr>
              <w:rPr>
                <w:rFonts w:ascii="Cambria Math" w:hAnsi="Cambria Math"/>
                <w:i/>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TRP</m:t>
            </m:r>
          </m:sub>
        </m:sSub>
      </m:oMath>
      <w:r>
        <w:rPr>
          <w:szCs w:val="20"/>
        </w:rPr>
        <w:t xml:space="preserve">, </w:t>
      </w:r>
      <m:oMath>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sub>
        </m:sSub>
      </m:oMath>
      <w:r>
        <w:rPr>
          <w:szCs w:val="20"/>
        </w:rPr>
        <w:t xml:space="preserve"> is the precoding matrix corresponding to the CSI-RS resource with index </w:t>
      </w: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oMath>
      <w:r>
        <w:rPr>
          <w:iCs/>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oMath>
      <w:r>
        <w:rPr>
          <w:szCs w:val="20"/>
        </w:rPr>
        <w:t xml:space="preserve"> is a reference frequency point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oMath>
      <w:r>
        <w:rPr>
          <w:rFonts w:hint="eastAsia"/>
          <w:szCs w:val="20"/>
        </w:rPr>
        <w:t xml:space="preserve"> </w:t>
      </w:r>
      <w:r>
        <w:rPr>
          <w:szCs w:val="20"/>
        </w:rPr>
        <w:t xml:space="preserve">may equal to 0), </w:t>
      </w:r>
      <m:oMath>
        <m:r>
          <w:rPr>
            <w:rFonts w:ascii="Cambria Math" w:hAnsi="Cambria Math"/>
            <w:szCs w:val="20"/>
          </w:rPr>
          <m:t>(k-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oMath>
      <w:r>
        <w:rPr>
          <w:szCs w:val="20"/>
        </w:rPr>
        <w:t xml:space="preserve"> denotes the number of frequency units between the time point </w:t>
      </w:r>
      <m:oMath>
        <m:r>
          <w:rPr>
            <w:rFonts w:ascii="Cambria Math" w:hAnsi="Cambria Math"/>
            <w:szCs w:val="20"/>
          </w:rPr>
          <m:t>k</m:t>
        </m:r>
      </m:oMath>
      <w:r>
        <w:rPr>
          <w:szCs w:val="20"/>
        </w:rPr>
        <w:t xml:space="preserve"> and the reference time point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oMath>
      <w:r>
        <w:rPr>
          <w:szCs w:val="20"/>
        </w:rPr>
        <w:t xml:space="preserve">, </w:t>
      </w:r>
      <m:oMath>
        <m:r>
          <w:rPr>
            <w:rFonts w:ascii="Cambria Math" w:hAnsi="Cambria Math"/>
            <w:szCs w:val="20"/>
          </w:rPr>
          <m:t>∆f</m:t>
        </m:r>
      </m:oMath>
      <w:r>
        <w:rPr>
          <w:szCs w:val="20"/>
        </w:rPr>
        <w:t xml:space="preserve"> is a frequency unit, </w:t>
      </w:r>
      <m:oMath>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sub>
        </m:sSub>
      </m:oMath>
      <w:r>
        <w:rPr>
          <w:szCs w:val="20"/>
        </w:rPr>
        <w:t xml:space="preserve"> is the DO associated with the CSI-RS resource with index </w:t>
      </w: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oMath>
      <w:r>
        <w:rPr>
          <w:szCs w:val="20"/>
        </w:rPr>
        <w:t xml:space="preserve">,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oMath>
      <w:r>
        <w:rPr>
          <w:szCs w:val="20"/>
        </w:rPr>
        <w:t xml:space="preserve"> is a reference time point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oMath>
      <w:r>
        <w:rPr>
          <w:rFonts w:hint="eastAsia"/>
          <w:szCs w:val="20"/>
        </w:rPr>
        <w:t xml:space="preserve"> </w:t>
      </w:r>
      <w:r>
        <w:rPr>
          <w:szCs w:val="20"/>
        </w:rPr>
        <w:t xml:space="preserve">may equal to 0), </w:t>
      </w:r>
      <m:oMath>
        <m:r>
          <w:rPr>
            <w:rFonts w:ascii="Cambria Math" w:hAnsi="Cambria Math"/>
            <w:szCs w:val="20"/>
          </w:rPr>
          <m:t>∆t</m:t>
        </m:r>
      </m:oMath>
      <w:r>
        <w:rPr>
          <w:szCs w:val="20"/>
        </w:rPr>
        <w:t xml:space="preserve"> is a time unit, </w:t>
      </w:r>
      <m:oMath>
        <m:r>
          <w:rPr>
            <w:rFonts w:ascii="Cambria Math" w:hAnsi="Cambria Math"/>
            <w:szCs w:val="20"/>
          </w:rPr>
          <m:t>(l-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m:t>
        </m:r>
      </m:oMath>
      <w:r>
        <w:rPr>
          <w:szCs w:val="20"/>
        </w:rPr>
        <w:t xml:space="preserve"> denotes the number of time units between the time point </w:t>
      </w:r>
      <m:oMath>
        <m:r>
          <w:rPr>
            <w:rFonts w:ascii="Cambria Math" w:hAnsi="Cambria Math"/>
            <w:szCs w:val="20"/>
          </w:rPr>
          <m:t>l</m:t>
        </m:r>
      </m:oMath>
      <w:r>
        <w:rPr>
          <w:szCs w:val="20"/>
        </w:rPr>
        <w:t xml:space="preserve"> and the reference time point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oMath>
      <w:r>
        <w:rPr>
          <w:szCs w:val="20"/>
        </w:rPr>
        <w:t xml:space="preserve">, </w:t>
      </w:r>
      <m:oMath>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sub>
        </m:sSub>
      </m:oMath>
      <w:r>
        <w:rPr>
          <w:szCs w:val="20"/>
        </w:rPr>
        <w:t xml:space="preserve"> is the FO associated with the CSI-RS resource with index </w:t>
      </w: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n</m:t>
            </m:r>
          </m:sub>
        </m:sSub>
      </m:oMath>
      <w:r>
        <w:rPr>
          <w:szCs w:val="20"/>
        </w:rPr>
        <w:t>.</w:t>
      </w:r>
    </w:p>
    <w:p w:rsidR="00C42F3E" w:rsidRDefault="00040989">
      <w:pPr>
        <w:snapToGrid w:val="0"/>
        <w:spacing w:beforeLines="30" w:before="72" w:afterLines="30" w:after="72" w:line="300" w:lineRule="auto"/>
        <w:textAlignment w:val="center"/>
        <w:rPr>
          <w:rFonts w:eastAsia="微软雅黑"/>
          <w:i/>
          <w:szCs w:val="20"/>
        </w:rPr>
      </w:pPr>
      <w:r>
        <w:rPr>
          <w:b/>
          <w:bCs/>
          <w:i/>
          <w:szCs w:val="20"/>
        </w:rPr>
        <w:t>Proposal 10:</w:t>
      </w:r>
      <w:r>
        <w:rPr>
          <w:bCs/>
          <w:i/>
          <w:szCs w:val="20"/>
        </w:rPr>
        <w:t xml:space="preserve"> </w:t>
      </w:r>
      <w:r w:rsidR="00240996">
        <w:rPr>
          <w:i/>
          <w:szCs w:val="20"/>
        </w:rPr>
        <w:t>For the Rel-19 aperiodic standalone CJT calibration reporting</w:t>
      </w:r>
      <w:r>
        <w:rPr>
          <w:rFonts w:eastAsia="微软雅黑"/>
          <w:i/>
          <w:szCs w:val="20"/>
        </w:rPr>
        <w:t>, support introducing new precoding assumption(s) for UE-specific DO/FO pre-compensated CJT.</w:t>
      </w:r>
    </w:p>
    <w:p w:rsidR="00C42F3E" w:rsidRDefault="00040989">
      <w:pPr>
        <w:pStyle w:val="aff2"/>
        <w:numPr>
          <w:ilvl w:val="0"/>
          <w:numId w:val="22"/>
        </w:numPr>
        <w:ind w:firstLineChars="0"/>
        <w:rPr>
          <w:bCs/>
          <w:i/>
          <w:szCs w:val="20"/>
        </w:rPr>
      </w:pPr>
      <w:r>
        <w:rPr>
          <w:rFonts w:hint="eastAsia"/>
          <w:bCs/>
          <w:i/>
          <w:szCs w:val="20"/>
        </w:rPr>
        <w:t>I</w:t>
      </w:r>
      <w:r>
        <w:rPr>
          <w:bCs/>
          <w:i/>
          <w:szCs w:val="20"/>
        </w:rPr>
        <w:t>f DO is pre-compensated, the precoding assumption can be expressed as</w:t>
      </w:r>
    </w:p>
    <w:p w:rsidR="00C42F3E" w:rsidRDefault="000E1D71">
      <w:pPr>
        <w:pStyle w:val="aff2"/>
        <w:ind w:left="840" w:firstLineChars="0" w:firstLine="0"/>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C42F3E" w:rsidRDefault="00040989">
      <w:pPr>
        <w:pStyle w:val="aff2"/>
        <w:numPr>
          <w:ilvl w:val="0"/>
          <w:numId w:val="22"/>
        </w:numPr>
        <w:ind w:firstLineChars="0"/>
        <w:rPr>
          <w:bCs/>
          <w:i/>
          <w:szCs w:val="20"/>
        </w:rPr>
      </w:pPr>
      <w:r>
        <w:rPr>
          <w:rFonts w:hint="eastAsia"/>
          <w:bCs/>
          <w:i/>
          <w:szCs w:val="20"/>
        </w:rPr>
        <w:t>I</w:t>
      </w:r>
      <w:r>
        <w:rPr>
          <w:bCs/>
          <w:i/>
          <w:szCs w:val="20"/>
        </w:rPr>
        <w:t>f FO is pre-compensated, the precoding assumption can be expressed as</w:t>
      </w:r>
    </w:p>
    <w:p w:rsidR="00C42F3E" w:rsidRDefault="000E1D71" w:rsidP="00A22029">
      <w:pPr>
        <w:snapToGrid w:val="0"/>
        <w:spacing w:beforeLines="30" w:before="72" w:afterLines="30" w:after="72" w:line="300" w:lineRule="auto"/>
        <w:textAlignment w:val="cente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C42F3E" w:rsidRDefault="00040989">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rsidR="00C42F3E" w:rsidRPr="008D5790" w:rsidRDefault="008D5790" w:rsidP="00A22029">
      <w:r w:rsidRPr="008D5790">
        <w:rPr>
          <w:rFonts w:hint="eastAsia"/>
        </w:rPr>
        <w:t>In summary, we have the following observations and proposals for CSI enhancement:</w:t>
      </w:r>
    </w:p>
    <w:p w:rsidR="00E851EF" w:rsidRDefault="00E851EF" w:rsidP="00E851EF">
      <w:pPr>
        <w:rPr>
          <w:i/>
          <w:iCs/>
        </w:rPr>
      </w:pPr>
      <w:r>
        <w:rPr>
          <w:rFonts w:hint="eastAsia"/>
          <w:b/>
          <w:bCs/>
          <w:i/>
          <w:iCs/>
        </w:rPr>
        <w:t xml:space="preserve">Proposal </w:t>
      </w:r>
      <w:r>
        <w:rPr>
          <w:b/>
          <w:bCs/>
          <w:i/>
          <w:iCs/>
        </w:rPr>
        <w:t>1</w:t>
      </w:r>
      <w:r>
        <w:rPr>
          <w:rFonts w:hint="eastAsia"/>
          <w:b/>
          <w:bCs/>
          <w:i/>
          <w:iCs/>
        </w:rPr>
        <w:t xml:space="preserve">: </w:t>
      </w:r>
      <w:r>
        <w:rPr>
          <w:rFonts w:eastAsia="Batang"/>
          <w:i/>
          <w:iCs/>
          <w:lang w:val="en-GB" w:eastAsia="en-US"/>
        </w:rPr>
        <w:t>For the Rel-19 Type-I SP codebook refinement for 48, 64, and 128 CSI-RS ports, regarding per-layer scaling factor applied to each of the selected SD basis vectors associated with RI=v</w:t>
      </w:r>
      <m:oMath>
        <m:r>
          <w:rPr>
            <w:rFonts w:ascii="Cambria Math" w:eastAsia="Batang" w:hAnsi="Cambria Math"/>
            <w:lang w:val="en-GB" w:eastAsia="en-US"/>
          </w:rPr>
          <m:t>∈</m:t>
        </m:r>
      </m:oMath>
      <w:r>
        <w:rPr>
          <w:rFonts w:eastAsia="Batang"/>
          <w:i/>
          <w:iCs/>
          <w:lang w:val="en-GB" w:eastAsia="en-US"/>
        </w:rPr>
        <w:t>{2} for the 3-bit scaling factor(s)</w:t>
      </w:r>
      <w:r w:rsidR="00811310">
        <w:rPr>
          <w:rFonts w:eastAsia="Batang"/>
          <w:i/>
          <w:iCs/>
          <w:lang w:val="en-GB" w:eastAsia="en-US"/>
        </w:rPr>
        <w:t>.</w:t>
      </w:r>
    </w:p>
    <w:p w:rsidR="00E851EF" w:rsidRDefault="00E851EF" w:rsidP="00E851EF">
      <w:pPr>
        <w:pStyle w:val="aff2"/>
        <w:numPr>
          <w:ilvl w:val="0"/>
          <w:numId w:val="12"/>
        </w:numPr>
        <w:ind w:firstLineChars="0"/>
        <w:rPr>
          <w:i/>
        </w:rPr>
      </w:pPr>
      <w:r>
        <w:rPr>
          <w:rFonts w:hint="eastAsia"/>
          <w:i/>
        </w:rPr>
        <w:t>S</w:t>
      </w:r>
      <w:r>
        <w:rPr>
          <w:i/>
        </w:rPr>
        <w:t xml:space="preserve">upport reusing legacy normalization coefficient, i.e., </w:t>
      </w:r>
      <m:oMath>
        <m:f>
          <m:fPr>
            <m:ctrlPr>
              <w:rPr>
                <w:rFonts w:ascii="Cambria Math" w:hAnsi="Cambria Math" w:hint="eastAsia"/>
                <w:i/>
              </w:rPr>
            </m:ctrlPr>
          </m:fPr>
          <m:num>
            <m:r>
              <w:rPr>
                <w:rFonts w:ascii="Cambria Math" w:hAnsi="Cambria Math" w:hint="eastAsia"/>
              </w:rPr>
              <m:t>1</m:t>
            </m:r>
          </m:num>
          <m:den>
            <m:rad>
              <m:radPr>
                <m:degHide m:val="1"/>
                <m:ctrlPr>
                  <w:rPr>
                    <w:rFonts w:ascii="Cambria Math" w:hAnsi="Cambria Math" w:hint="eastAsia"/>
                    <w:i/>
                  </w:rPr>
                </m:ctrlPr>
              </m:radPr>
              <m:deg/>
              <m:e>
                <m:r>
                  <w:rPr>
                    <w:rFonts w:ascii="Cambria Math" w:hAnsi="Cambria Math"/>
                  </w:rPr>
                  <m:t>2</m:t>
                </m:r>
                <m:sSub>
                  <m:sSubPr>
                    <m:ctrlPr>
                      <w:rPr>
                        <w:rFonts w:ascii="Cambria Math" w:hAnsi="Cambria Math" w:hint="eastAsia"/>
                        <w:i/>
                      </w:rPr>
                    </m:ctrlPr>
                  </m:sSubPr>
                  <m:e>
                    <m:r>
                      <w:rPr>
                        <w:rFonts w:ascii="Cambria Math" w:hAnsi="Cambria Math" w:hint="eastAsia"/>
                      </w:rPr>
                      <m:t>P</m:t>
                    </m:r>
                  </m:e>
                  <m:sub>
                    <m:r>
                      <w:rPr>
                        <w:rFonts w:ascii="Cambria Math" w:hAnsi="Cambria Math" w:hint="eastAsia"/>
                      </w:rPr>
                      <m:t>CSI</m:t>
                    </m:r>
                    <m:r>
                      <w:rPr>
                        <w:rFonts w:ascii="Cambria Math" w:eastAsia="微软雅黑" w:hAnsi="Cambria Math" w:cs="微软雅黑" w:hint="eastAsia"/>
                      </w:rPr>
                      <m:t>-</m:t>
                    </m:r>
                    <m:r>
                      <w:rPr>
                        <w:rFonts w:ascii="Cambria Math" w:hAnsi="Cambria Math" w:hint="eastAsia"/>
                      </w:rPr>
                      <m:t>RS</m:t>
                    </m:r>
                  </m:sub>
                </m:sSub>
              </m:e>
            </m:rad>
          </m:den>
        </m:f>
      </m:oMath>
      <w:r>
        <w:rPr>
          <w:rFonts w:hint="eastAsia"/>
          <w:i/>
        </w:rPr>
        <w:t>,</w:t>
      </w:r>
      <w:r>
        <w:rPr>
          <w:i/>
        </w:rPr>
        <w:t xml:space="preserve"> where </w:t>
      </w:r>
      <w:r>
        <w:rPr>
          <w:rFonts w:hint="eastAsia"/>
          <w:i/>
        </w:rPr>
        <w:t>P</w:t>
      </w:r>
      <w:r>
        <w:rPr>
          <w:rFonts w:hint="eastAsia"/>
          <w:i/>
          <w:vertAlign w:val="subscript"/>
        </w:rPr>
        <w:t>CSI</w:t>
      </w:r>
      <w:r>
        <w:rPr>
          <w:rFonts w:ascii="微软雅黑" w:eastAsia="微软雅黑" w:hAnsi="微软雅黑" w:cs="微软雅黑" w:hint="eastAsia"/>
          <w:i/>
          <w:vertAlign w:val="subscript"/>
        </w:rPr>
        <w:t>−</w:t>
      </w:r>
      <w:r>
        <w:rPr>
          <w:rFonts w:hint="eastAsia"/>
          <w:i/>
          <w:vertAlign w:val="subscript"/>
        </w:rPr>
        <w:t>RS</w:t>
      </w:r>
      <w:r>
        <w:rPr>
          <w:rFonts w:hint="eastAsia"/>
          <w:i/>
        </w:rPr>
        <w:t xml:space="preserve"> is the total number of CSI-RS ports</w:t>
      </w:r>
      <w:r w:rsidR="00811310">
        <w:rPr>
          <w:i/>
        </w:rPr>
        <w:t>.</w:t>
      </w:r>
    </w:p>
    <w:p w:rsidR="00E851EF" w:rsidRDefault="00E851EF" w:rsidP="00E851EF">
      <w:pPr>
        <w:pStyle w:val="aff2"/>
        <w:numPr>
          <w:ilvl w:val="0"/>
          <w:numId w:val="12"/>
        </w:numPr>
        <w:ind w:firstLineChars="0"/>
        <w:rPr>
          <w:i/>
        </w:rPr>
      </w:pPr>
      <w:r>
        <w:rPr>
          <w:rFonts w:hint="eastAsia"/>
          <w:i/>
        </w:rPr>
        <w:t>S</w:t>
      </w:r>
      <w:r>
        <w:rPr>
          <w:i/>
        </w:rPr>
        <w:t xml:space="preserve">upport RI-common configuration of the 3-bit scaling factor </w:t>
      </w:r>
      <w:proofErr w:type="spellStart"/>
      <w:r>
        <w:rPr>
          <w:rFonts w:hint="eastAsia"/>
          <w:i/>
          <w:iCs/>
        </w:rPr>
        <w:t>s</w:t>
      </w:r>
      <w:r>
        <w:rPr>
          <w:rFonts w:hint="eastAsia"/>
          <w:i/>
          <w:iCs/>
          <w:vertAlign w:val="subscript"/>
        </w:rPr>
        <w:t>i</w:t>
      </w:r>
      <w:proofErr w:type="spellEnd"/>
      <w:r>
        <w:rPr>
          <w:i/>
          <w:iCs/>
        </w:rPr>
        <w:t>.</w:t>
      </w:r>
    </w:p>
    <w:p w:rsidR="00E851EF" w:rsidRDefault="00E851EF" w:rsidP="00E851EF">
      <w:pPr>
        <w:pStyle w:val="aff2"/>
        <w:numPr>
          <w:ilvl w:val="0"/>
          <w:numId w:val="12"/>
        </w:numPr>
        <w:ind w:firstLineChars="0"/>
        <w:rPr>
          <w:i/>
        </w:rPr>
      </w:pPr>
      <w:r>
        <w:rPr>
          <w:rFonts w:hint="eastAsia"/>
          <w:i/>
        </w:rPr>
        <w:t xml:space="preserve">Support </w:t>
      </w:r>
      <w:proofErr w:type="spellStart"/>
      <w:r>
        <w:rPr>
          <w:rFonts w:hint="eastAsia"/>
          <w:i/>
        </w:rPr>
        <w:t>Alt</w:t>
      </w:r>
      <w:r>
        <w:rPr>
          <w:i/>
        </w:rPr>
        <w:t>A</w:t>
      </w:r>
      <w:proofErr w:type="spellEnd"/>
      <w:r>
        <w:rPr>
          <w:i/>
        </w:rPr>
        <w:t xml:space="preserve">, i.e., the per-layer amplitude scaling coefficient is </w:t>
      </w:r>
      <w:proofErr w:type="spellStart"/>
      <w:r>
        <w:rPr>
          <w:rFonts w:hint="eastAsia"/>
          <w:i/>
          <w:iCs/>
        </w:rPr>
        <w:t>s</w:t>
      </w:r>
      <w:r>
        <w:rPr>
          <w:rFonts w:hint="eastAsia"/>
          <w:i/>
          <w:iCs/>
          <w:vertAlign w:val="subscript"/>
        </w:rPr>
        <w:t>i</w:t>
      </w:r>
      <w:proofErr w:type="spellEnd"/>
      <w:r>
        <w:rPr>
          <w:rFonts w:hint="eastAsia"/>
          <w:i/>
        </w:rPr>
        <w:t>.</w:t>
      </w:r>
    </w:p>
    <w:p w:rsidR="00E851EF" w:rsidRDefault="00E851EF" w:rsidP="00A22029">
      <w:pPr>
        <w:widowControl w:val="0"/>
        <w:snapToGrid w:val="0"/>
        <w:spacing w:before="0" w:after="0" w:line="240" w:lineRule="auto"/>
        <w:jc w:val="left"/>
      </w:pPr>
      <w:r w:rsidRPr="00A22029">
        <w:rPr>
          <w:b/>
          <w:bCs/>
          <w:i/>
          <w:iCs/>
        </w:rPr>
        <w:t xml:space="preserve">Proposal 2: </w:t>
      </w:r>
      <w:r w:rsidRPr="00A22029">
        <w:rPr>
          <w:rFonts w:eastAsia="Batang"/>
          <w:i/>
          <w:iCs/>
          <w:szCs w:val="20"/>
          <w:lang w:val="en-GB" w:eastAsia="en-US"/>
        </w:rPr>
        <w:t>Support the offline proposal 1.E.</w:t>
      </w:r>
    </w:p>
    <w:p w:rsidR="00E851EF" w:rsidRPr="00E851EF" w:rsidRDefault="00E851EF">
      <w:pPr>
        <w:snapToGrid w:val="0"/>
        <w:contextualSpacing/>
        <w:jc w:val="left"/>
        <w:rPr>
          <w:bCs/>
          <w:iCs/>
          <w:szCs w:val="20"/>
        </w:rPr>
      </w:pPr>
    </w:p>
    <w:p w:rsidR="00E851EF" w:rsidRDefault="00E851EF" w:rsidP="00E851EF">
      <w:pPr>
        <w:rPr>
          <w:i/>
          <w:iCs/>
        </w:rPr>
      </w:pPr>
      <w:r>
        <w:rPr>
          <w:rFonts w:hint="eastAsia"/>
          <w:b/>
          <w:bCs/>
          <w:i/>
          <w:iCs/>
        </w:rPr>
        <w:t xml:space="preserve">Proposal </w:t>
      </w:r>
      <w:r>
        <w:rPr>
          <w:b/>
          <w:bCs/>
          <w:i/>
          <w:iCs/>
        </w:rPr>
        <w:t>3</w:t>
      </w:r>
      <w:r>
        <w:rPr>
          <w:rFonts w:hint="eastAsia"/>
          <w:b/>
          <w:bCs/>
          <w:i/>
          <w:iCs/>
        </w:rPr>
        <w:t xml:space="preserve">: </w:t>
      </w:r>
      <w:r>
        <w:rPr>
          <w:rFonts w:hint="eastAsia"/>
          <w:i/>
          <w:iCs/>
        </w:rPr>
        <w:t>For the Rel-19 CRI-based CSI refinement for up to 128 CSI-RS ports, regarding the slot offset configuration of AP CSI-RS resources, support a per-resource RRC configuration to indicate a resource-level slot offset relative to the legacy resource-set-level slot</w:t>
      </w:r>
      <w:r w:rsidR="00811310">
        <w:rPr>
          <w:i/>
          <w:iCs/>
        </w:rPr>
        <w:t>.</w:t>
      </w:r>
    </w:p>
    <w:p w:rsidR="00E851EF" w:rsidRDefault="00E851EF" w:rsidP="00E851EF">
      <w:pPr>
        <w:pStyle w:val="aff2"/>
        <w:numPr>
          <w:ilvl w:val="0"/>
          <w:numId w:val="12"/>
        </w:numPr>
        <w:ind w:firstLineChars="0"/>
      </w:pPr>
      <w:r>
        <w:rPr>
          <w:i/>
        </w:rPr>
        <w:t xml:space="preserve">FFS: </w:t>
      </w:r>
      <w:r>
        <w:rPr>
          <w:rFonts w:hint="eastAsia"/>
          <w:i/>
        </w:rPr>
        <w:t>T</w:t>
      </w:r>
      <w:r>
        <w:rPr>
          <w:i/>
        </w:rPr>
        <w:t>he number of bits to indicate resource-level slot offset</w:t>
      </w:r>
      <w:r>
        <w:rPr>
          <w:rFonts w:hint="eastAsia"/>
          <w:i/>
        </w:rPr>
        <w:t>.</w:t>
      </w:r>
    </w:p>
    <w:p w:rsidR="00811310" w:rsidRPr="00A22029" w:rsidRDefault="00811310" w:rsidP="00A22029">
      <w:pPr>
        <w:rPr>
          <w:i/>
        </w:rPr>
      </w:pPr>
      <w:r w:rsidRPr="00A22029">
        <w:rPr>
          <w:b/>
          <w:i/>
        </w:rPr>
        <w:t>Proposal 4:</w:t>
      </w:r>
      <w:r w:rsidRPr="00A22029">
        <w:rPr>
          <w:i/>
        </w:rPr>
        <w:t xml:space="preserve"> </w:t>
      </w:r>
      <w:r w:rsidRPr="00A22029">
        <w:rPr>
          <w:i/>
          <w:szCs w:val="20"/>
        </w:rPr>
        <w:t xml:space="preserve">For the Rel-19 aperiodic standalone CJT calibration reporting, when </w:t>
      </w:r>
      <w:proofErr w:type="spellStart"/>
      <w:r w:rsidRPr="00A22029">
        <w:rPr>
          <w:i/>
          <w:szCs w:val="20"/>
        </w:rPr>
        <w:t>ReportQuantity</w:t>
      </w:r>
      <w:proofErr w:type="spellEnd"/>
      <w:r w:rsidRPr="00A22029">
        <w:rPr>
          <w:i/>
          <w:szCs w:val="20"/>
        </w:rPr>
        <w:t xml:space="preserve"> is ‘</w:t>
      </w:r>
      <w:proofErr w:type="spellStart"/>
      <w:r w:rsidRPr="00A22029">
        <w:rPr>
          <w:i/>
          <w:szCs w:val="20"/>
        </w:rPr>
        <w:t>cjtc</w:t>
      </w:r>
      <w:proofErr w:type="spellEnd"/>
      <w:r w:rsidRPr="00A22029">
        <w:rPr>
          <w:i/>
          <w:szCs w:val="20"/>
        </w:rPr>
        <w:t>-P’ (DL/UL phase offset), the selection of P</w:t>
      </w:r>
      <w:r w:rsidRPr="00A22029">
        <w:rPr>
          <w:i/>
          <w:szCs w:val="20"/>
          <w:vertAlign w:val="subscript"/>
        </w:rPr>
        <w:t>SRS</w:t>
      </w:r>
      <w:r w:rsidRPr="00A22029">
        <w:rPr>
          <w:i/>
          <w:szCs w:val="20"/>
        </w:rPr>
        <w:t xml:space="preserve">=1 SRS port (corresponding to the ‘reference UE antenna port’) out of the y available SRS ports (from an </w:t>
      </w:r>
      <w:proofErr w:type="spellStart"/>
      <w:r w:rsidRPr="00A22029">
        <w:rPr>
          <w:i/>
          <w:szCs w:val="20"/>
        </w:rPr>
        <w:t>xTyR</w:t>
      </w:r>
      <w:proofErr w:type="spellEnd"/>
      <w:r w:rsidRPr="00A22029">
        <w:rPr>
          <w:i/>
          <w:szCs w:val="20"/>
        </w:rPr>
        <w:t xml:space="preserve"> SRS resource for antenna switching) </w:t>
      </w:r>
      <w:r w:rsidRPr="00A22029">
        <w:rPr>
          <w:i/>
          <w:szCs w:val="20"/>
          <w:lang w:eastAsia="ko-KR"/>
        </w:rPr>
        <w:t xml:space="preserve">is </w:t>
      </w:r>
      <w:r w:rsidRPr="00A22029">
        <w:rPr>
          <w:i/>
          <w:szCs w:val="20"/>
        </w:rPr>
        <w:t>configured per trigger state.</w:t>
      </w:r>
    </w:p>
    <w:p w:rsidR="00811310" w:rsidRDefault="00811310" w:rsidP="00811310">
      <w:pPr>
        <w:rPr>
          <w:i/>
        </w:rPr>
      </w:pPr>
      <w:r>
        <w:rPr>
          <w:rFonts w:hint="eastAsia"/>
          <w:b/>
          <w:i/>
        </w:rPr>
        <w:t>P</w:t>
      </w:r>
      <w:r>
        <w:rPr>
          <w:b/>
          <w:i/>
        </w:rPr>
        <w:t>roposal 5:</w:t>
      </w:r>
      <w:r>
        <w:rPr>
          <w:i/>
        </w:rPr>
        <w:t xml:space="preserve"> </w:t>
      </w:r>
      <w:r>
        <w:rPr>
          <w:i/>
          <w:szCs w:val="20"/>
        </w:rPr>
        <w:t xml:space="preserve">For the Rel-19 aperiodic standalone CJT calibration reporting, when </w:t>
      </w:r>
      <w:proofErr w:type="spellStart"/>
      <w:r>
        <w:rPr>
          <w:i/>
          <w:szCs w:val="20"/>
        </w:rPr>
        <w:t>ReportQuantity</w:t>
      </w:r>
      <w:proofErr w:type="spellEnd"/>
      <w:r>
        <w:rPr>
          <w:i/>
          <w:szCs w:val="20"/>
        </w:rPr>
        <w:t xml:space="preserve"> is ‘</w:t>
      </w:r>
      <w:proofErr w:type="spellStart"/>
      <w:r>
        <w:rPr>
          <w:i/>
          <w:szCs w:val="20"/>
        </w:rPr>
        <w:t>cjtc</w:t>
      </w:r>
      <w:proofErr w:type="spellEnd"/>
      <w:r>
        <w:rPr>
          <w:i/>
          <w:szCs w:val="20"/>
        </w:rPr>
        <w:t xml:space="preserve">-P’ (DL/UL phase offset), </w:t>
      </w:r>
      <w:r>
        <w:rPr>
          <w:rFonts w:eastAsia="Malgun Gothic"/>
          <w:i/>
          <w:szCs w:val="20"/>
        </w:rPr>
        <w:t xml:space="preserve">when periodic or semi-persistent associated SRS resource is configured, </w:t>
      </w:r>
      <w:r>
        <w:rPr>
          <w:i/>
        </w:rPr>
        <w:t>support a 1-bit indicator to inform UE whether ‘the earliest SRS occasion after the N</w:t>
      </w:r>
      <w:r>
        <w:rPr>
          <w:i/>
          <w:vertAlign w:val="subscript"/>
        </w:rPr>
        <w:t>TRP</w:t>
      </w:r>
      <w:r>
        <w:rPr>
          <w:i/>
        </w:rPr>
        <w:t xml:space="preserve"> CSI-RS occasions’ can be used for determining the reference UE antenna port.</w:t>
      </w:r>
    </w:p>
    <w:p w:rsidR="00811310" w:rsidRDefault="00811310" w:rsidP="00811310">
      <w:pPr>
        <w:pStyle w:val="aff2"/>
        <w:numPr>
          <w:ilvl w:val="0"/>
          <w:numId w:val="12"/>
        </w:numPr>
        <w:ind w:firstLineChars="0"/>
        <w:rPr>
          <w:i/>
        </w:rPr>
      </w:pPr>
      <w:r>
        <w:rPr>
          <w:rFonts w:hint="eastAsia"/>
          <w:i/>
        </w:rPr>
        <w:t>I</w:t>
      </w:r>
      <w:r>
        <w:rPr>
          <w:i/>
        </w:rPr>
        <w:t>f the 1-bit indicator is set to 0, UE determines the reference UE antenna port corresponds to the last SRS occasion before the N</w:t>
      </w:r>
      <w:r>
        <w:rPr>
          <w:i/>
          <w:vertAlign w:val="subscript"/>
        </w:rPr>
        <w:t>TRP</w:t>
      </w:r>
      <w:r>
        <w:rPr>
          <w:i/>
        </w:rPr>
        <w:t xml:space="preserve"> CSI-RS occasions for measuring ‘</w:t>
      </w:r>
      <w:proofErr w:type="spellStart"/>
      <w:r>
        <w:rPr>
          <w:i/>
        </w:rPr>
        <w:t>cjtc</w:t>
      </w:r>
      <w:proofErr w:type="spellEnd"/>
      <w:r>
        <w:rPr>
          <w:i/>
        </w:rPr>
        <w:t>-P’ report;</w:t>
      </w:r>
    </w:p>
    <w:p w:rsidR="00811310" w:rsidRDefault="00811310" w:rsidP="00811310">
      <w:pPr>
        <w:pStyle w:val="aff2"/>
        <w:numPr>
          <w:ilvl w:val="0"/>
          <w:numId w:val="12"/>
        </w:numPr>
        <w:ind w:firstLineChars="0"/>
        <w:rPr>
          <w:i/>
        </w:rPr>
      </w:pPr>
      <w:r>
        <w:rPr>
          <w:rFonts w:hint="eastAsia"/>
          <w:i/>
        </w:rPr>
        <w:t>I</w:t>
      </w:r>
      <w:r>
        <w:rPr>
          <w:i/>
        </w:rPr>
        <w:t>f the 1-bit indicator is set to 1, UE determines the reference UE antenna port corresponds to the closest SRS occasion either before or after the N</w:t>
      </w:r>
      <w:r>
        <w:rPr>
          <w:i/>
          <w:vertAlign w:val="subscript"/>
        </w:rPr>
        <w:t>TRP</w:t>
      </w:r>
      <w:r>
        <w:rPr>
          <w:i/>
        </w:rPr>
        <w:t xml:space="preserve"> CSI-RS occasions for measuring ‘</w:t>
      </w:r>
      <w:proofErr w:type="spellStart"/>
      <w:r>
        <w:rPr>
          <w:i/>
        </w:rPr>
        <w:t>cjtc</w:t>
      </w:r>
      <w:proofErr w:type="spellEnd"/>
      <w:r>
        <w:rPr>
          <w:i/>
        </w:rPr>
        <w:t>-P’ report.</w:t>
      </w:r>
    </w:p>
    <w:p w:rsidR="00811310" w:rsidRDefault="00811310" w:rsidP="00A22029">
      <w:r w:rsidRPr="00A22029">
        <w:rPr>
          <w:b/>
          <w:i/>
        </w:rPr>
        <w:t>Proposal 6:</w:t>
      </w:r>
      <w:r w:rsidRPr="00A22029">
        <w:rPr>
          <w:i/>
        </w:rPr>
        <w:t xml:space="preserve"> </w:t>
      </w:r>
      <w:r w:rsidRPr="00A22029">
        <w:rPr>
          <w:i/>
          <w:szCs w:val="20"/>
        </w:rPr>
        <w:t xml:space="preserve">For the Rel-19 aperiodic standalone CJT calibration reporting, when </w:t>
      </w:r>
      <w:proofErr w:type="spellStart"/>
      <w:r w:rsidRPr="00A22029">
        <w:rPr>
          <w:i/>
          <w:szCs w:val="20"/>
        </w:rPr>
        <w:t>ReportQuantity</w:t>
      </w:r>
      <w:proofErr w:type="spellEnd"/>
      <w:r w:rsidRPr="00A22029">
        <w:rPr>
          <w:i/>
          <w:szCs w:val="20"/>
        </w:rPr>
        <w:t xml:space="preserve"> is ‘</w:t>
      </w:r>
      <w:proofErr w:type="spellStart"/>
      <w:r w:rsidRPr="00A22029">
        <w:rPr>
          <w:i/>
          <w:szCs w:val="20"/>
        </w:rPr>
        <w:t>cjtc</w:t>
      </w:r>
      <w:proofErr w:type="spellEnd"/>
      <w:r w:rsidRPr="00A22029">
        <w:rPr>
          <w:i/>
          <w:szCs w:val="20"/>
        </w:rPr>
        <w:t xml:space="preserve">-P’ (DL/UL phase offset), </w:t>
      </w:r>
      <w:r w:rsidRPr="00A22029">
        <w:rPr>
          <w:rFonts w:eastAsia="Malgun Gothic"/>
          <w:i/>
          <w:szCs w:val="20"/>
        </w:rPr>
        <w:t>when aperiodic SRS resource is configured, UE determines the reference UE antenna port corresponds to the latest SRS occasion triggered by a DCI no later than the DCI triggering the ‘</w:t>
      </w:r>
      <w:proofErr w:type="spellStart"/>
      <w:r w:rsidRPr="00A22029">
        <w:rPr>
          <w:rFonts w:eastAsia="Malgun Gothic"/>
          <w:i/>
          <w:szCs w:val="20"/>
        </w:rPr>
        <w:t>cjt</w:t>
      </w:r>
      <w:proofErr w:type="spellEnd"/>
      <w:r w:rsidRPr="00A22029">
        <w:rPr>
          <w:rFonts w:eastAsia="Malgun Gothic"/>
          <w:i/>
          <w:szCs w:val="20"/>
        </w:rPr>
        <w:t>-P’ report.</w:t>
      </w:r>
    </w:p>
    <w:p w:rsidR="00811310" w:rsidRDefault="00811310" w:rsidP="00811310">
      <w:pPr>
        <w:rPr>
          <w:rFonts w:cs="Times"/>
          <w:i/>
          <w:szCs w:val="20"/>
        </w:rPr>
      </w:pPr>
      <w:r>
        <w:rPr>
          <w:rFonts w:hint="eastAsia"/>
          <w:b/>
          <w:i/>
        </w:rPr>
        <w:t>P</w:t>
      </w:r>
      <w:r>
        <w:rPr>
          <w:b/>
          <w:i/>
        </w:rPr>
        <w:t>roposal 7:</w:t>
      </w:r>
      <w:r>
        <w:rPr>
          <w:i/>
        </w:rPr>
        <w:t xml:space="preserve"> </w:t>
      </w:r>
      <w:r>
        <w:rPr>
          <w:i/>
          <w:szCs w:val="20"/>
        </w:rPr>
        <w:t>For the Rel-19 aperiodic standalone CJT calibration reporting,</w:t>
      </w:r>
      <w:r>
        <w:rPr>
          <w:rFonts w:cs="Times"/>
          <w:i/>
          <w:szCs w:val="20"/>
        </w:rPr>
        <w:t xml:space="preserve"> when linking CJTC Dd and Rel-18 </w:t>
      </w:r>
      <w:proofErr w:type="spellStart"/>
      <w:r>
        <w:rPr>
          <w:rFonts w:cs="Times"/>
          <w:i/>
          <w:szCs w:val="20"/>
        </w:rPr>
        <w:t>eType</w:t>
      </w:r>
      <w:proofErr w:type="spellEnd"/>
      <w:r>
        <w:rPr>
          <w:rFonts w:cs="Times"/>
          <w:i/>
          <w:szCs w:val="20"/>
        </w:rPr>
        <w:t xml:space="preserve">-II reports is configured with two separate triggers, to indicate whether or not the UE should perform delay offset (DO) </w:t>
      </w:r>
      <w:r>
        <w:rPr>
          <w:rFonts w:cs="Times"/>
          <w:i/>
          <w:szCs w:val="20"/>
        </w:rPr>
        <w:lastRenderedPageBreak/>
        <w:t xml:space="preserve">compensation based on the latest linked CJTC Dd report when calculating the Rel-18 CJT </w:t>
      </w:r>
      <w:proofErr w:type="spellStart"/>
      <w:r>
        <w:rPr>
          <w:rFonts w:cs="Times"/>
          <w:i/>
          <w:szCs w:val="20"/>
        </w:rPr>
        <w:t>eType</w:t>
      </w:r>
      <w:proofErr w:type="spellEnd"/>
      <w:r>
        <w:rPr>
          <w:rFonts w:cs="Times"/>
          <w:i/>
          <w:szCs w:val="20"/>
        </w:rPr>
        <w:t>-II CSI, introduce a 1-bit indicator per-</w:t>
      </w:r>
      <w:r>
        <w:rPr>
          <w:i/>
          <w:iCs/>
        </w:rPr>
        <w:t>CSI-</w:t>
      </w:r>
      <w:proofErr w:type="spellStart"/>
      <w:r>
        <w:rPr>
          <w:i/>
          <w:iCs/>
        </w:rPr>
        <w:t>AssociatedReportConfigInfo</w:t>
      </w:r>
      <w:proofErr w:type="spellEnd"/>
      <w:r>
        <w:rPr>
          <w:rFonts w:cs="Times"/>
          <w:i/>
          <w:szCs w:val="20"/>
        </w:rPr>
        <w:t xml:space="preserve"> in CSI trigger state.</w:t>
      </w:r>
    </w:p>
    <w:p w:rsidR="00811310" w:rsidRDefault="00811310" w:rsidP="00811310">
      <w:pPr>
        <w:pStyle w:val="aff2"/>
        <w:numPr>
          <w:ilvl w:val="0"/>
          <w:numId w:val="12"/>
        </w:numPr>
        <w:ind w:firstLineChars="0"/>
        <w:rPr>
          <w:i/>
        </w:rPr>
      </w:pPr>
      <w:r>
        <w:rPr>
          <w:rFonts w:hint="eastAsia"/>
          <w:i/>
        </w:rPr>
        <w:t>T</w:t>
      </w:r>
      <w:r>
        <w:rPr>
          <w:i/>
        </w:rPr>
        <w:t>his 1-bit indicator applies to all the N</w:t>
      </w:r>
      <w:r>
        <w:rPr>
          <w:i/>
          <w:vertAlign w:val="subscript"/>
        </w:rPr>
        <w:t>TRP</w:t>
      </w:r>
      <w:r>
        <w:rPr>
          <w:i/>
        </w:rPr>
        <w:t xml:space="preserve"> CSI-RS resources.</w:t>
      </w:r>
    </w:p>
    <w:p w:rsidR="00811310" w:rsidRDefault="00811310" w:rsidP="00811310">
      <w:pPr>
        <w:rPr>
          <w:i/>
        </w:rPr>
      </w:pPr>
      <w:r>
        <w:rPr>
          <w:rFonts w:hint="eastAsia"/>
          <w:b/>
          <w:i/>
        </w:rPr>
        <w:t>P</w:t>
      </w:r>
      <w:r>
        <w:rPr>
          <w:b/>
          <w:i/>
        </w:rPr>
        <w:t>roposal 8:</w:t>
      </w:r>
      <w:r>
        <w:rPr>
          <w:i/>
        </w:rPr>
        <w:t xml:space="preserve"> Support offline Proposal 3.B.</w:t>
      </w:r>
    </w:p>
    <w:p w:rsidR="00811310" w:rsidRDefault="00811310" w:rsidP="00811310">
      <w:pPr>
        <w:pStyle w:val="aff2"/>
        <w:numPr>
          <w:ilvl w:val="0"/>
          <w:numId w:val="12"/>
        </w:numPr>
        <w:ind w:firstLineChars="0"/>
        <w:rPr>
          <w:i/>
        </w:rPr>
      </w:pPr>
      <w:proofErr w:type="spellStart"/>
      <w:r>
        <w:rPr>
          <w:rFonts w:eastAsia="Batang"/>
          <w:i/>
          <w:szCs w:val="20"/>
          <w:lang w:val="en-GB" w:eastAsia="en-US"/>
        </w:rPr>
        <w:t>d</w:t>
      </w:r>
      <w:r>
        <w:rPr>
          <w:rFonts w:eastAsia="Batang"/>
          <w:i/>
          <w:szCs w:val="20"/>
          <w:vertAlign w:val="subscript"/>
          <w:lang w:val="en-GB" w:eastAsia="en-US"/>
        </w:rPr>
        <w:t>relax</w:t>
      </w:r>
      <w:proofErr w:type="spellEnd"/>
      <w:r>
        <w:rPr>
          <w:rFonts w:eastAsia="Batang"/>
          <w:i/>
          <w:szCs w:val="20"/>
          <w:lang w:val="en-GB" w:eastAsia="en-US"/>
        </w:rPr>
        <w:t xml:space="preserve"> is down-selected from {</w:t>
      </w:r>
      <w:r>
        <w:rPr>
          <w:i/>
        </w:rPr>
        <w:t>Z</w:t>
      </w:r>
      <w:r>
        <w:rPr>
          <w:i/>
          <w:vertAlign w:val="subscript"/>
        </w:rPr>
        <w:t>2</w:t>
      </w:r>
      <w:r>
        <w:rPr>
          <w:i/>
        </w:rPr>
        <w:t>/Z</w:t>
      </w:r>
      <w:r>
        <w:rPr>
          <w:i/>
          <w:vertAlign w:val="subscript"/>
        </w:rPr>
        <w:t>2</w:t>
      </w:r>
      <w:r>
        <w:rPr>
          <w:i/>
        </w:rPr>
        <w:t xml:space="preserve">’, </w:t>
      </w:r>
      <m:oMath>
        <m:f>
          <m:fPr>
            <m:ctrlPr>
              <w:rPr>
                <w:rFonts w:ascii="Cambria Math" w:eastAsia="Batang" w:hAnsi="Cambria Math"/>
                <w:i/>
                <w:szCs w:val="20"/>
                <w:lang w:val="en-GB" w:eastAsia="en-US"/>
              </w:rPr>
            </m:ctrlPr>
          </m:fPr>
          <m:num>
            <m:r>
              <w:rPr>
                <w:rFonts w:ascii="Cambria Math" w:eastAsia="Batang" w:hAnsi="Cambria Math"/>
                <w:szCs w:val="20"/>
                <w:lang w:val="en-GB" w:eastAsia="en-US"/>
              </w:rPr>
              <m:t>1</m:t>
            </m:r>
          </m:num>
          <m:den>
            <m:r>
              <w:rPr>
                <w:rFonts w:ascii="Cambria Math" w:eastAsia="Batang" w:hAnsi="Cambria Math"/>
                <w:szCs w:val="20"/>
                <w:lang w:val="en-GB" w:eastAsia="en-US"/>
              </w:rPr>
              <m:t>2</m:t>
            </m:r>
          </m:den>
        </m:f>
        <m:d>
          <m:dPr>
            <m:ctrlPr>
              <w:rPr>
                <w:rFonts w:ascii="Cambria Math" w:eastAsiaTheme="minorEastAsia" w:hAnsi="Cambria Math"/>
                <w:i/>
                <w:szCs w:val="20"/>
                <w:lang w:val="en-GB"/>
              </w:rPr>
            </m:ctrlPr>
          </m:dPr>
          <m:e>
            <m:sSub>
              <m:sSubPr>
                <m:ctrlPr>
                  <w:rPr>
                    <w:rFonts w:ascii="Cambria Math" w:eastAsiaTheme="minorEastAsia" w:hAnsi="Cambria Math"/>
                    <w:i/>
                    <w:szCs w:val="20"/>
                    <w:lang w:val="en-GB"/>
                  </w:rPr>
                </m:ctrlPr>
              </m:sSubPr>
              <m:e>
                <m:r>
                  <w:rPr>
                    <w:rFonts w:ascii="Cambria Math" w:eastAsiaTheme="minorEastAsia" w:hAnsi="Cambria Math"/>
                    <w:szCs w:val="20"/>
                    <w:lang w:val="en-GB"/>
                  </w:rPr>
                  <m:t>Z</m:t>
                </m:r>
              </m:e>
              <m:sub>
                <m:r>
                  <w:rPr>
                    <w:rFonts w:ascii="Cambria Math" w:eastAsiaTheme="minorEastAsia" w:hAnsi="Cambria Math"/>
                    <w:szCs w:val="20"/>
                    <w:lang w:val="en-GB"/>
                  </w:rPr>
                  <m:t>2</m:t>
                </m:r>
              </m:sub>
            </m:sSub>
            <m:r>
              <w:rPr>
                <w:rFonts w:ascii="Cambria Math" w:eastAsiaTheme="minorEastAsia" w:hAnsi="Cambria Math"/>
                <w:szCs w:val="20"/>
                <w:lang w:val="en-GB"/>
              </w:rPr>
              <m:t>/</m:t>
            </m:r>
            <m:sSubSup>
              <m:sSubSupPr>
                <m:ctrlPr>
                  <w:rPr>
                    <w:rFonts w:ascii="Cambria Math" w:eastAsiaTheme="minorEastAsia" w:hAnsi="Cambria Math"/>
                    <w:i/>
                    <w:szCs w:val="20"/>
                    <w:lang w:val="en-GB"/>
                  </w:rPr>
                </m:ctrlPr>
              </m:sSubSupPr>
              <m:e>
                <m:r>
                  <w:rPr>
                    <w:rFonts w:ascii="Cambria Math" w:eastAsiaTheme="minorEastAsia" w:hAnsi="Cambria Math"/>
                    <w:szCs w:val="20"/>
                    <w:lang w:val="en-GB"/>
                  </w:rPr>
                  <m:t>Z</m:t>
                </m:r>
              </m:e>
              <m:sub>
                <m:r>
                  <w:rPr>
                    <w:rFonts w:ascii="Cambria Math" w:eastAsiaTheme="minorEastAsia" w:hAnsi="Cambria Math"/>
                    <w:szCs w:val="20"/>
                    <w:lang w:val="en-GB"/>
                  </w:rPr>
                  <m:t>2</m:t>
                </m:r>
              </m:sub>
              <m:sup>
                <m:r>
                  <w:rPr>
                    <w:rFonts w:ascii="Cambria Math" w:eastAsiaTheme="minorEastAsia" w:hAnsi="Cambria Math"/>
                    <w:szCs w:val="20"/>
                    <w:lang w:val="en-GB"/>
                  </w:rPr>
                  <m:t>'</m:t>
                </m:r>
              </m:sup>
            </m:sSubSup>
          </m:e>
        </m:d>
      </m:oMath>
      <w:r>
        <w:rPr>
          <w:rFonts w:hint="eastAsia"/>
          <w:i/>
          <w:szCs w:val="20"/>
          <w:lang w:val="en-GB"/>
        </w:rPr>
        <w:t>,</w:t>
      </w:r>
      <w:r>
        <w:rPr>
          <w:i/>
          <w:szCs w:val="20"/>
          <w:lang w:val="en-GB"/>
        </w:rPr>
        <w:t xml:space="preserve"> </w:t>
      </w:r>
      <w:r>
        <w:rPr>
          <w:i/>
        </w:rPr>
        <w:t>Z</w:t>
      </w:r>
      <w:r>
        <w:rPr>
          <w:i/>
          <w:vertAlign w:val="subscript"/>
        </w:rPr>
        <w:t>1</w:t>
      </w:r>
      <w:r>
        <w:rPr>
          <w:i/>
        </w:rPr>
        <w:t>/Z</w:t>
      </w:r>
      <w:r>
        <w:rPr>
          <w:i/>
          <w:vertAlign w:val="subscript"/>
        </w:rPr>
        <w:t>1</w:t>
      </w:r>
      <w:r>
        <w:rPr>
          <w:i/>
        </w:rPr>
        <w:t>’</w:t>
      </w:r>
      <w:r>
        <w:rPr>
          <w:rFonts w:eastAsia="Batang"/>
          <w:i/>
          <w:szCs w:val="20"/>
          <w:lang w:val="en-GB" w:eastAsia="en-US"/>
        </w:rPr>
        <w:t>}.</w:t>
      </w:r>
    </w:p>
    <w:p w:rsidR="00811310" w:rsidRDefault="00811310" w:rsidP="00811310">
      <w:pPr>
        <w:rPr>
          <w:i/>
          <w:szCs w:val="20"/>
        </w:rPr>
      </w:pPr>
      <w:r>
        <w:rPr>
          <w:rFonts w:hint="eastAsia"/>
          <w:b/>
          <w:i/>
        </w:rPr>
        <w:t>P</w:t>
      </w:r>
      <w:r>
        <w:rPr>
          <w:b/>
          <w:i/>
        </w:rPr>
        <w:t xml:space="preserve">roposal 9: </w:t>
      </w:r>
      <w:r>
        <w:rPr>
          <w:i/>
          <w:szCs w:val="20"/>
        </w:rPr>
        <w:t xml:space="preserve">For the Rel-19 aperiodic standalone CJT calibration reporting, support the linkage between CJT calibration FO report and CJT </w:t>
      </w:r>
      <w:proofErr w:type="spellStart"/>
      <w:r>
        <w:rPr>
          <w:i/>
          <w:szCs w:val="20"/>
        </w:rPr>
        <w:t>eType</w:t>
      </w:r>
      <w:proofErr w:type="spellEnd"/>
      <w:r>
        <w:rPr>
          <w:i/>
          <w:szCs w:val="20"/>
        </w:rPr>
        <w:t>-II report.</w:t>
      </w:r>
    </w:p>
    <w:p w:rsidR="00811310" w:rsidRDefault="00811310" w:rsidP="00811310">
      <w:pPr>
        <w:pStyle w:val="aff2"/>
        <w:numPr>
          <w:ilvl w:val="0"/>
          <w:numId w:val="12"/>
        </w:numPr>
        <w:ind w:firstLineChars="0"/>
        <w:rPr>
          <w:i/>
        </w:rPr>
      </w:pPr>
      <w:r>
        <w:rPr>
          <w:rFonts w:hint="eastAsia"/>
          <w:i/>
        </w:rPr>
        <w:t>R</w:t>
      </w:r>
      <w:r>
        <w:rPr>
          <w:i/>
        </w:rPr>
        <w:t xml:space="preserve">euse all the mechanisms of linking CJT calibration DO report and CJT </w:t>
      </w:r>
      <w:proofErr w:type="spellStart"/>
      <w:r>
        <w:rPr>
          <w:i/>
        </w:rPr>
        <w:t>eType</w:t>
      </w:r>
      <w:proofErr w:type="spellEnd"/>
      <w:r>
        <w:rPr>
          <w:i/>
        </w:rPr>
        <w:t xml:space="preserve">-II report, including separate triggering and joint triggering. </w:t>
      </w:r>
    </w:p>
    <w:p w:rsidR="00811310" w:rsidRDefault="00811310" w:rsidP="00811310">
      <w:pPr>
        <w:snapToGrid w:val="0"/>
        <w:spacing w:beforeLines="30" w:before="72" w:afterLines="30" w:after="72" w:line="300" w:lineRule="auto"/>
        <w:textAlignment w:val="center"/>
        <w:rPr>
          <w:rFonts w:eastAsia="微软雅黑"/>
          <w:i/>
          <w:szCs w:val="20"/>
        </w:rPr>
      </w:pPr>
      <w:r>
        <w:rPr>
          <w:b/>
          <w:bCs/>
          <w:i/>
          <w:szCs w:val="20"/>
        </w:rPr>
        <w:t>Proposal 10:</w:t>
      </w:r>
      <w:r>
        <w:rPr>
          <w:bCs/>
          <w:i/>
          <w:szCs w:val="20"/>
        </w:rPr>
        <w:t xml:space="preserve"> </w:t>
      </w:r>
      <w:r w:rsidR="009E0987">
        <w:rPr>
          <w:i/>
          <w:szCs w:val="20"/>
        </w:rPr>
        <w:t>For the Rel-19 aperiodic standalone CJT calibration reporting</w:t>
      </w:r>
      <w:r>
        <w:rPr>
          <w:rFonts w:eastAsia="微软雅黑"/>
          <w:i/>
          <w:szCs w:val="20"/>
        </w:rPr>
        <w:t>, support introducing new precoding assumption(s) for UE-specific DO/FO pre-compensated CJT.</w:t>
      </w:r>
    </w:p>
    <w:p w:rsidR="00811310" w:rsidRDefault="00811310" w:rsidP="00811310">
      <w:pPr>
        <w:pStyle w:val="aff2"/>
        <w:numPr>
          <w:ilvl w:val="0"/>
          <w:numId w:val="22"/>
        </w:numPr>
        <w:ind w:firstLineChars="0"/>
        <w:rPr>
          <w:bCs/>
          <w:i/>
          <w:szCs w:val="20"/>
        </w:rPr>
      </w:pPr>
      <w:r>
        <w:rPr>
          <w:rFonts w:hint="eastAsia"/>
          <w:bCs/>
          <w:i/>
          <w:szCs w:val="20"/>
        </w:rPr>
        <w:t>I</w:t>
      </w:r>
      <w:r>
        <w:rPr>
          <w:bCs/>
          <w:i/>
          <w:szCs w:val="20"/>
        </w:rPr>
        <w:t>f DO is pre-compensated, the precoding assumption can be expressed as</w:t>
      </w:r>
    </w:p>
    <w:p w:rsidR="00811310" w:rsidRDefault="000E1D71" w:rsidP="00811310">
      <w:pPr>
        <w:pStyle w:val="aff2"/>
        <w:ind w:left="840" w:firstLineChars="0" w:firstLine="0"/>
        <w:rPr>
          <w:szCs w:val="20"/>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∆τ</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811310" w:rsidRDefault="00811310" w:rsidP="00811310">
      <w:pPr>
        <w:pStyle w:val="aff2"/>
        <w:numPr>
          <w:ilvl w:val="0"/>
          <w:numId w:val="22"/>
        </w:numPr>
        <w:ind w:firstLineChars="0"/>
        <w:rPr>
          <w:bCs/>
          <w:i/>
          <w:szCs w:val="20"/>
        </w:rPr>
      </w:pPr>
      <w:r>
        <w:rPr>
          <w:rFonts w:hint="eastAsia"/>
          <w:bCs/>
          <w:i/>
          <w:szCs w:val="20"/>
        </w:rPr>
        <w:t>I</w:t>
      </w:r>
      <w:r>
        <w:rPr>
          <w:bCs/>
          <w:i/>
          <w:szCs w:val="20"/>
        </w:rPr>
        <w:t>f FO is pre-compensated, the precoding assumption can be expressed as</w:t>
      </w:r>
    </w:p>
    <w:p w:rsidR="00E851EF" w:rsidRPr="00A22029" w:rsidRDefault="000E1D71" w:rsidP="00A22029">
      <w:pPr>
        <w:snapToGrid w:val="0"/>
        <w:spacing w:beforeLines="30" w:before="72" w:afterLines="30" w:after="72" w:line="300" w:lineRule="auto"/>
        <w:textAlignment w:val="center"/>
        <w:rPr>
          <w:rFonts w:eastAsiaTheme="minorEastAsia"/>
          <w:i/>
          <w:iCs/>
          <w:szCs w:val="24"/>
        </w:rPr>
      </w:pPr>
      <m:oMathPara>
        <m:oMath>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r>
                  <m:e>
                    <m:m>
                      <m:mPr>
                        <m:mcs>
                          <m:mc>
                            <m:mcPr>
                              <m:count m:val="1"/>
                              <m:mcJc m:val="center"/>
                            </m:mcPr>
                          </m:mc>
                        </m:mcs>
                        <m:ctrlPr>
                          <w:rPr>
                            <w:rFonts w:ascii="Cambria Math" w:hAnsi="Cambria Math"/>
                            <w:szCs w:val="20"/>
                          </w:rPr>
                        </m:ctrlPr>
                      </m:mP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eastAsia="Cambria Math" w:hAnsi="Cambria Math"/>
                              <w:szCs w:val="20"/>
                            </w:rPr>
                            <m:t>⋮</m:t>
                          </m:r>
                          <m:ctrlPr>
                            <w:rPr>
                              <w:rFonts w:ascii="Cambria Math" w:eastAsia="Cambria Math" w:hAnsi="Cambria Math"/>
                              <w:szCs w:val="20"/>
                            </w:rPr>
                          </m:ctrlPr>
                        </m:e>
                      </m:mr>
                      <m:m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ctrlPr>
                            <w:rPr>
                              <w:rFonts w:ascii="Cambria Math" w:eastAsia="Cambria Math" w:hAnsi="Cambria Math"/>
                              <w:szCs w:val="20"/>
                            </w:rPr>
                          </m:ctrlPr>
                        </m:e>
                      </m:mr>
                      <m:mr>
                        <m:e>
                          <m:r>
                            <m:rPr>
                              <m:sty m:val="p"/>
                            </m:rPr>
                            <w:rPr>
                              <w:rFonts w:ascii="Cambria Math" w:hAnsi="Cambria Math"/>
                              <w:szCs w:val="20"/>
                            </w:rPr>
                            <m:t>⋮</m:t>
                          </m:r>
                        </m:e>
                      </m:mr>
                      <m:mr>
                        <m:e>
                          <m:eqArr>
                            <m:eqArrPr>
                              <m:ctrlPr>
                                <w:rPr>
                                  <w:rFonts w:ascii="Cambria Math" w:hAnsi="Cambria Math"/>
                                  <w:szCs w:val="20"/>
                                </w:rPr>
                              </m:ctrlPr>
                            </m:eqArrPr>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
                              <m:r>
                                <m:rPr>
                                  <m:sty m:val="p"/>
                                </m:rPr>
                                <w:rPr>
                                  <w:rFonts w:ascii="Cambria Math" w:hAnsi="Cambria Math"/>
                                  <w:szCs w:val="20"/>
                                </w:rPr>
                                <m:t>⋮</m:t>
                              </m:r>
                              <m:ctrlPr>
                                <w:rPr>
                                  <w:rFonts w:ascii="Cambria Math" w:eastAsia="Cambria Math" w:hAnsi="Cambria Math"/>
                                  <w:szCs w:val="20"/>
                                </w:rPr>
                              </m:ctrlPr>
                            </m:e>
                            <m:e>
                              <m:sSubSup>
                                <m:sSubSupPr>
                                  <m:ctrlPr>
                                    <w:rPr>
                                      <w:rFonts w:ascii="Cambria Math" w:hAnsi="Cambria Math"/>
                                      <w:szCs w:val="20"/>
                                    </w:rPr>
                                  </m:ctrlPr>
                                </m:sSubSupPr>
                                <m:e>
                                  <m:r>
                                    <w:rPr>
                                      <w:rFonts w:ascii="Cambria Math" w:hAnsi="Cambria Math"/>
                                      <w:szCs w:val="20"/>
                                    </w:rPr>
                                    <m:t>y</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up>
                                  <m:d>
                                    <m:dPr>
                                      <m:ctrlPr>
                                        <w:rPr>
                                          <w:rFonts w:ascii="Cambria Math" w:hAnsi="Cambria Math"/>
                                          <w:szCs w:val="20"/>
                                        </w:rPr>
                                      </m:ctrlPr>
                                    </m:dPr>
                                    <m:e>
                                      <m:r>
                                        <m:rPr>
                                          <m:sty m:val="p"/>
                                        </m:rPr>
                                        <w:rPr>
                                          <w:rFonts w:ascii="Cambria Math" w:hAnsi="Cambria Math"/>
                                          <w:szCs w:val="20"/>
                                        </w:rPr>
                                        <m:t>3000+</m:t>
                                      </m:r>
                                      <m:r>
                                        <w:rPr>
                                          <w:rFonts w:ascii="Cambria Math" w:hAnsi="Cambria Math"/>
                                          <w:szCs w:val="20"/>
                                        </w:rPr>
                                        <m:t>P</m:t>
                                      </m:r>
                                      <m:r>
                                        <m:rPr>
                                          <m:sty m:val="p"/>
                                        </m:rPr>
                                        <w:rPr>
                                          <w:rFonts w:ascii="Cambria Math" w:hAnsi="Cambria Math"/>
                                          <w:szCs w:val="20"/>
                                        </w:rPr>
                                        <m:t>-1</m:t>
                                      </m:r>
                                    </m:e>
                                  </m:d>
                                </m:sup>
                              </m:sSubSup>
                              <m:r>
                                <m:rPr>
                                  <m:sty m:val="p"/>
                                </m:rPr>
                                <w:rPr>
                                  <w:rFonts w:ascii="Cambria Math" w:hAnsi="Cambria Math"/>
                                  <w:szCs w:val="20"/>
                                </w:rPr>
                                <m:t>(</m:t>
                              </m:r>
                              <m:r>
                                <w:rPr>
                                  <w:rFonts w:ascii="Cambria Math" w:hAnsi="Cambria Math"/>
                                  <w:szCs w:val="20"/>
                                </w:rPr>
                                <m:t>k,l</m:t>
                              </m:r>
                              <m:r>
                                <m:rPr>
                                  <m:sty m:val="p"/>
                                </m:rPr>
                                <w:rPr>
                                  <w:rFonts w:ascii="Cambria Math" w:hAnsi="Cambria Math"/>
                                  <w:szCs w:val="20"/>
                                </w:rPr>
                                <m:t>)</m:t>
                              </m:r>
                            </m:e>
                          </m:eqArr>
                        </m:e>
                      </m:mr>
                    </m:m>
                  </m:e>
                </m:mr>
              </m:m>
            </m:e>
          </m:d>
          <m:r>
            <m:rPr>
              <m:sty m:val="p"/>
            </m:rPr>
            <w:rPr>
              <w:rFonts w:ascii="Cambria Math" w:hAnsi="Cambria Math"/>
              <w:szCs w:val="20"/>
            </w:rPr>
            <m:t>=</m:t>
          </m:r>
          <m:d>
            <m:dPr>
              <m:begChr m:val="["/>
              <m:endChr m:val="]"/>
              <m:ctrlPr>
                <w:rPr>
                  <w:rFonts w:ascii="Cambria Math" w:hAnsi="Cambria Math"/>
                  <w:szCs w:val="20"/>
                </w:rPr>
              </m:ctrlPr>
            </m:dPr>
            <m:e>
              <m:m>
                <m:mPr>
                  <m:mcs>
                    <m:mc>
                      <m:mcPr>
                        <m:count m:val="1"/>
                        <m:mcJc m:val="center"/>
                      </m:mcPr>
                    </m:mc>
                  </m:mcs>
                  <m:ctrlPr>
                    <w:rPr>
                      <w:rFonts w:ascii="Cambria Math" w:hAnsi="Cambria Math"/>
                      <w:szCs w:val="20"/>
                    </w:rPr>
                  </m:ctrlPr>
                </m:mPr>
                <m:mr>
                  <m:e>
                    <m:sSub>
                      <m:sSubPr>
                        <m:ctrlPr>
                          <w:rPr>
                            <w:rFonts w:ascii="Cambria Math" w:hAnsi="Cambria Math"/>
                            <w:szCs w:val="20"/>
                          </w:rPr>
                        </m:ctrlPr>
                      </m:sSubP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sup>
                        </m:sSup>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1</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sup>
                    </m:sSup>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r>
                              <m:rPr>
                                <m:sty m:val="p"/>
                              </m:rPr>
                              <w:rPr>
                                <w:rFonts w:ascii="Cambria Math" w:hAnsi="Cambria Math"/>
                                <w:szCs w:val="20"/>
                              </w:rPr>
                              <m:t>2</m:t>
                            </m:r>
                          </m:sub>
                        </m:sSub>
                      </m:sub>
                    </m:sSub>
                  </m:e>
                </m:mr>
                <m:mr>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-j2π(l-</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)∆t</m:t>
                        </m:r>
                        <m:sSub>
                          <m:sSubPr>
                            <m:ctrlPr>
                              <w:rPr>
                                <w:rFonts w:ascii="Cambria Math" w:hAnsi="Cambria Math"/>
                                <w:i/>
                                <w:szCs w:val="20"/>
                              </w:rPr>
                            </m:ctrlPr>
                          </m:sSubPr>
                          <m:e>
                            <m:r>
                              <w:rPr>
                                <w:rFonts w:ascii="Cambria Math" w:hAnsi="Cambria Math"/>
                                <w:szCs w:val="20"/>
                              </w:rPr>
                              <m:t>∆f</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sup>
                    </m:sSup>
                    <m:m>
                      <m:mPr>
                        <m:mcs>
                          <m:mc>
                            <m:mcPr>
                              <m:count m:val="1"/>
                              <m:mcJc m:val="center"/>
                            </m:mcPr>
                          </m:mc>
                        </m:mcs>
                        <m:ctrlPr>
                          <w:rPr>
                            <w:rFonts w:ascii="Cambria Math" w:hAnsi="Cambria Math"/>
                            <w:szCs w:val="20"/>
                          </w:rPr>
                        </m:ctrlPr>
                      </m:mPr>
                      <m:mr>
                        <m:e>
                          <m:r>
                            <m:rPr>
                              <m:sty m:val="p"/>
                            </m:rPr>
                            <w:rPr>
                              <w:rFonts w:ascii="Cambria Math" w:hAnsi="Cambria Math"/>
                              <w:szCs w:val="20"/>
                            </w:rPr>
                            <m:t>⋮</m:t>
                          </m:r>
                        </m:e>
                      </m:mr>
                      <m:mr>
                        <m:e>
                          <m:sSub>
                            <m:sSubPr>
                              <m:ctrlPr>
                                <w:rPr>
                                  <w:rFonts w:ascii="Cambria Math" w:hAnsi="Cambria Math"/>
                                  <w:szCs w:val="20"/>
                                </w:rPr>
                              </m:ctrlPr>
                            </m:sSubPr>
                            <m:e>
                              <m:r>
                                <w:rPr>
                                  <w:rFonts w:ascii="Cambria Math" w:hAnsi="Cambria Math"/>
                                  <w:szCs w:val="20"/>
                                </w:rPr>
                                <m:t>W</m:t>
                              </m:r>
                            </m:e>
                            <m:sub>
                              <m:sSub>
                                <m:sSubPr>
                                  <m:ctrlPr>
                                    <w:rPr>
                                      <w:rFonts w:ascii="Cambria Math" w:hAnsi="Cambria Math"/>
                                      <w:szCs w:val="20"/>
                                    </w:rPr>
                                  </m:ctrlPr>
                                </m:sSubPr>
                                <m:e>
                                  <m:r>
                                    <w:rPr>
                                      <w:rFonts w:ascii="Cambria Math" w:hAnsi="Cambria Math"/>
                                      <w:szCs w:val="20"/>
                                    </w:rPr>
                                    <m:t>σ</m:t>
                                  </m:r>
                                </m:e>
                                <m: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sub>
                              </m:sSub>
                            </m:sub>
                          </m:sSub>
                        </m:e>
                      </m:mr>
                    </m:m>
                  </m:e>
                </m:mr>
              </m:m>
            </m:e>
          </m:d>
          <m:d>
            <m:dPr>
              <m:begChr m:val="["/>
              <m:endChr m:val="]"/>
              <m:ctrlPr>
                <w:rPr>
                  <w:rFonts w:ascii="Cambria Math" w:hAnsi="Cambria Math"/>
                  <w:szCs w:val="20"/>
                </w:rPr>
              </m:ctrlPr>
            </m:dPr>
            <m:e>
              <m:eqArr>
                <m:eqArrPr>
                  <m:ctrlPr>
                    <w:rPr>
                      <w:rFonts w:ascii="Cambria Math" w:hAnsi="Cambria Math"/>
                      <w:szCs w:val="20"/>
                    </w:rPr>
                  </m:ctrlPr>
                </m:eqArrPr>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m:rPr>
                              <m:sty m:val="p"/>
                            </m:rPr>
                            <w:rPr>
                              <w:rFonts w:ascii="Cambria Math" w:hAnsi="Cambria Math"/>
                              <w:szCs w:val="20"/>
                            </w:rPr>
                            <m:t>0</m:t>
                          </m:r>
                        </m:e>
                      </m:d>
                    </m:sup>
                  </m:sSup>
                  <m:d>
                    <m:dPr>
                      <m:ctrlPr>
                        <w:rPr>
                          <w:rFonts w:ascii="Cambria Math" w:hAnsi="Cambria Math"/>
                          <w:szCs w:val="20"/>
                        </w:rPr>
                      </m:ctrlPr>
                    </m:dPr>
                    <m:e>
                      <m:r>
                        <w:rPr>
                          <w:rFonts w:ascii="Cambria Math" w:hAnsi="Cambria Math"/>
                          <w:szCs w:val="20"/>
                        </w:rPr>
                        <m:t>k,l</m:t>
                      </m:r>
                    </m:e>
                  </m:d>
                </m:e>
                <m:e>
                  <m:r>
                    <m:rPr>
                      <m:sty m:val="p"/>
                    </m:rPr>
                    <w:rPr>
                      <w:rFonts w:ascii="Cambria Math" w:hAnsi="Cambria Math"/>
                      <w:szCs w:val="20"/>
                    </w:rPr>
                    <m:t>⋮</m:t>
                  </m:r>
                  <m:ctrlPr>
                    <w:rPr>
                      <w:rFonts w:ascii="Cambria Math" w:eastAsia="Cambria Math" w:hAnsi="Cambria Math"/>
                      <w:szCs w:val="20"/>
                    </w:rPr>
                  </m:ctrlPr>
                </m:e>
                <m:e>
                  <m:sSup>
                    <m:sSupPr>
                      <m:ctrlPr>
                        <w:rPr>
                          <w:rFonts w:ascii="Cambria Math" w:hAnsi="Cambria Math"/>
                          <w:szCs w:val="20"/>
                        </w:rPr>
                      </m:ctrlPr>
                    </m:sSupPr>
                    <m:e>
                      <m:r>
                        <w:rPr>
                          <w:rFonts w:ascii="Cambria Math" w:hAnsi="Cambria Math"/>
                          <w:szCs w:val="20"/>
                        </w:rPr>
                        <m:t>x</m:t>
                      </m:r>
                    </m:e>
                    <m:sup>
                      <m:d>
                        <m:dPr>
                          <m:ctrlPr>
                            <w:rPr>
                              <w:rFonts w:ascii="Cambria Math" w:hAnsi="Cambria Math"/>
                              <w:szCs w:val="20"/>
                            </w:rPr>
                          </m:ctrlPr>
                        </m:dPr>
                        <m:e>
                          <m:r>
                            <w:rPr>
                              <w:rFonts w:ascii="Cambria Math" w:hAnsi="Cambria Math"/>
                              <w:szCs w:val="20"/>
                            </w:rPr>
                            <m:t>υ</m:t>
                          </m:r>
                          <m:r>
                            <m:rPr>
                              <m:sty m:val="p"/>
                            </m:rPr>
                            <w:rPr>
                              <w:rFonts w:ascii="Cambria Math" w:hAnsi="Cambria Math"/>
                              <w:szCs w:val="20"/>
                            </w:rPr>
                            <m:t>-1</m:t>
                          </m:r>
                        </m:e>
                      </m:d>
                    </m:sup>
                  </m:sSup>
                  <m:d>
                    <m:dPr>
                      <m:ctrlPr>
                        <w:rPr>
                          <w:rFonts w:ascii="Cambria Math" w:hAnsi="Cambria Math"/>
                          <w:szCs w:val="20"/>
                        </w:rPr>
                      </m:ctrlPr>
                    </m:dPr>
                    <m:e>
                      <m:r>
                        <w:rPr>
                          <w:rFonts w:ascii="Cambria Math" w:hAnsi="Cambria Math"/>
                          <w:szCs w:val="20"/>
                        </w:rPr>
                        <m:t>k,l</m:t>
                      </m:r>
                    </m:e>
                  </m:d>
                </m:e>
              </m:eqArr>
            </m:e>
          </m:d>
        </m:oMath>
      </m:oMathPara>
    </w:p>
    <w:p w:rsidR="00C42F3E" w:rsidRDefault="00040989">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rsidR="00C42F3E" w:rsidRDefault="00040989">
      <w:pPr>
        <w:pStyle w:val="NoSpacing1"/>
        <w:numPr>
          <w:ilvl w:val="0"/>
          <w:numId w:val="23"/>
        </w:numPr>
        <w:snapToGrid w:val="0"/>
        <w:jc w:val="both"/>
        <w:rPr>
          <w:bCs/>
          <w:sz w:val="20"/>
          <w:szCs w:val="20"/>
        </w:rPr>
      </w:pP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rsidR="00C42F3E" w:rsidRDefault="00040989">
      <w:pPr>
        <w:keepNext/>
        <w:widowControl w:val="0"/>
        <w:numPr>
          <w:ilvl w:val="0"/>
          <w:numId w:val="8"/>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Appendix</w:t>
      </w:r>
    </w:p>
    <w:p w:rsidR="00C42F3E" w:rsidRPr="001308E3" w:rsidRDefault="00040989">
      <w:pPr>
        <w:snapToGrid w:val="0"/>
        <w:spacing w:beforeLines="30" w:before="72" w:afterLines="30" w:after="72" w:line="288" w:lineRule="auto"/>
        <w:jc w:val="center"/>
        <w:rPr>
          <w:rFonts w:eastAsia="微软雅黑"/>
          <w:szCs w:val="20"/>
          <w:u w:val="single"/>
        </w:rPr>
      </w:pPr>
      <w:r>
        <w:rPr>
          <w:rFonts w:eastAsia="微软雅黑"/>
          <w:b/>
          <w:szCs w:val="20"/>
        </w:rPr>
        <w:t>Table</w:t>
      </w:r>
      <w:r>
        <w:rPr>
          <w:rFonts w:eastAsia="微软雅黑" w:hint="eastAsia"/>
          <w:b/>
          <w:szCs w:val="20"/>
        </w:rPr>
        <w:t xml:space="preserve"> </w:t>
      </w:r>
      <w:r>
        <w:rPr>
          <w:rFonts w:eastAsia="微软雅黑"/>
          <w:b/>
          <w:szCs w:val="20"/>
        </w:rPr>
        <w:t>1</w:t>
      </w:r>
      <w:r>
        <w:rPr>
          <w:rFonts w:eastAsia="微软雅黑"/>
          <w:szCs w:val="20"/>
        </w:rPr>
        <w:t xml:space="preserve"> SLS evaluation assumption for</w:t>
      </w:r>
      <w:r w:rsidR="00C76284">
        <w:rPr>
          <w:rFonts w:eastAsia="微软雅黑"/>
          <w:szCs w:val="20"/>
        </w:rPr>
        <w:t xml:space="preserve"> SP</w:t>
      </w:r>
      <w:r w:rsidR="00A7108B">
        <w:rPr>
          <w:rFonts w:eastAsia="微软雅黑"/>
          <w:szCs w:val="20"/>
        </w:rPr>
        <w:t xml:space="preserve"> </w:t>
      </w:r>
      <w:r w:rsidR="00A7108B">
        <w:rPr>
          <w:rFonts w:eastAsia="微软雅黑" w:hint="eastAsia"/>
          <w:szCs w:val="20"/>
        </w:rPr>
        <w:t>Type</w:t>
      </w:r>
      <w:r w:rsidR="00A7108B">
        <w:rPr>
          <w:rFonts w:eastAsia="微软雅黑"/>
          <w:szCs w:val="20"/>
        </w:rPr>
        <w:t xml:space="preserve">-I codebook with </w:t>
      </w:r>
      <w:r w:rsidR="001308E3">
        <w:rPr>
          <w:rFonts w:eastAsia="微软雅黑"/>
          <w:szCs w:val="20"/>
        </w:rPr>
        <w:t>P</w:t>
      </w:r>
      <w:r w:rsidR="001308E3">
        <w:rPr>
          <w:rFonts w:eastAsia="微软雅黑"/>
          <w:szCs w:val="20"/>
          <w:vertAlign w:val="subscript"/>
        </w:rPr>
        <w:t>CSI-RS</w:t>
      </w:r>
      <w:r w:rsidR="001308E3">
        <w:rPr>
          <w:rFonts w:eastAsia="微软雅黑"/>
          <w:szCs w:val="20"/>
        </w:rPr>
        <w:t xml:space="preserve"> = 32</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C42F3E">
        <w:trPr>
          <w:trHeight w:val="284"/>
          <w:jc w:val="center"/>
        </w:trPr>
        <w:tc>
          <w:tcPr>
            <w:tcW w:w="3392" w:type="dxa"/>
            <w:shd w:val="clear" w:color="000000" w:fill="BFBFBF" w:themeFill="background1" w:themeFillShade="BF"/>
            <w:noWrap/>
            <w:vAlign w:val="center"/>
          </w:tcPr>
          <w:p w:rsidR="00C42F3E" w:rsidRDefault="00040989">
            <w:pPr>
              <w:spacing w:after="0"/>
              <w:jc w:val="center"/>
              <w:rPr>
                <w:b/>
                <w:bCs/>
                <w:color w:val="000000"/>
                <w:sz w:val="18"/>
                <w:szCs w:val="18"/>
              </w:rPr>
            </w:pPr>
            <w:r>
              <w:rPr>
                <w:b/>
                <w:bCs/>
                <w:color w:val="000000"/>
                <w:sz w:val="18"/>
                <w:szCs w:val="18"/>
              </w:rPr>
              <w:t>Parameter</w:t>
            </w:r>
          </w:p>
        </w:tc>
        <w:tc>
          <w:tcPr>
            <w:tcW w:w="4504" w:type="dxa"/>
            <w:shd w:val="clear" w:color="000000" w:fill="BFBFBF" w:themeFill="background1" w:themeFillShade="BF"/>
            <w:noWrap/>
            <w:vAlign w:val="center"/>
          </w:tcPr>
          <w:p w:rsidR="00C42F3E" w:rsidRDefault="00040989">
            <w:pPr>
              <w:spacing w:after="0"/>
              <w:jc w:val="center"/>
              <w:rPr>
                <w:b/>
                <w:bCs/>
                <w:color w:val="000000"/>
                <w:sz w:val="18"/>
                <w:szCs w:val="18"/>
              </w:rPr>
            </w:pPr>
            <w:r>
              <w:rPr>
                <w:b/>
                <w:bCs/>
                <w:color w:val="000000"/>
                <w:sz w:val="18"/>
                <w:szCs w:val="18"/>
              </w:rPr>
              <w:t>Value</w:t>
            </w:r>
          </w:p>
        </w:tc>
      </w:tr>
      <w:tr w:rsidR="00C42F3E">
        <w:trPr>
          <w:trHeight w:val="91"/>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lastRenderedPageBreak/>
              <w:t>Carrier Frequency</w:t>
            </w:r>
          </w:p>
        </w:tc>
        <w:tc>
          <w:tcPr>
            <w:tcW w:w="4504" w:type="dxa"/>
            <w:shd w:val="clear" w:color="auto" w:fill="auto"/>
            <w:noWrap/>
            <w:vAlign w:val="center"/>
          </w:tcPr>
          <w:p w:rsidR="00C42F3E" w:rsidRDefault="00040989">
            <w:pPr>
              <w:spacing w:after="0"/>
              <w:rPr>
                <w:color w:val="000000"/>
                <w:sz w:val="18"/>
                <w:szCs w:val="18"/>
              </w:rPr>
            </w:pPr>
            <w:r>
              <w:rPr>
                <w:rFonts w:hint="eastAsia"/>
                <w:color w:val="000000"/>
                <w:sz w:val="18"/>
                <w:szCs w:val="18"/>
              </w:rPr>
              <w:t>6</w:t>
            </w:r>
            <w:r>
              <w:rPr>
                <w:color w:val="000000"/>
                <w:sz w:val="18"/>
                <w:szCs w:val="18"/>
              </w:rPr>
              <w:t>GHz</w:t>
            </w:r>
          </w:p>
        </w:tc>
      </w:tr>
      <w:tr w:rsidR="00C42F3E">
        <w:trPr>
          <w:trHeight w:val="285"/>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Channel Model</w:t>
            </w:r>
          </w:p>
        </w:tc>
        <w:tc>
          <w:tcPr>
            <w:tcW w:w="4504" w:type="dxa"/>
            <w:shd w:val="clear" w:color="auto" w:fill="auto"/>
            <w:noWrap/>
            <w:vAlign w:val="center"/>
          </w:tcPr>
          <w:p w:rsidR="00C42F3E" w:rsidRDefault="00040989">
            <w:pPr>
              <w:spacing w:after="0"/>
              <w:rPr>
                <w:color w:val="000000"/>
                <w:sz w:val="18"/>
                <w:szCs w:val="18"/>
              </w:rPr>
            </w:pPr>
            <w:r>
              <w:rPr>
                <w:color w:val="000000"/>
                <w:sz w:val="18"/>
                <w:szCs w:val="18"/>
              </w:rPr>
              <w:t>According to the TR 38.901</w:t>
            </w:r>
          </w:p>
          <w:p w:rsidR="00C42F3E" w:rsidRDefault="00040989">
            <w:pPr>
              <w:pStyle w:val="TAL"/>
              <w:rPr>
                <w:rFonts w:ascii="Times New Roman" w:hAnsi="Times New Roman"/>
                <w:color w:val="000000"/>
                <w:szCs w:val="18"/>
                <w:lang w:val="en-US" w:eastAsia="zh-CN"/>
              </w:rPr>
            </w:pPr>
            <w:r>
              <w:rPr>
                <w:rFonts w:ascii="Times New Roman" w:hAnsi="Times New Roman"/>
                <w:color w:val="000000"/>
                <w:szCs w:val="18"/>
                <w:lang w:eastAsia="ja-JP"/>
              </w:rPr>
              <w:t xml:space="preserve">3D </w:t>
            </w:r>
            <w:proofErr w:type="gramStart"/>
            <w:r>
              <w:rPr>
                <w:rFonts w:ascii="Times New Roman" w:hAnsi="Times New Roman"/>
                <w:color w:val="000000"/>
                <w:szCs w:val="18"/>
                <w:lang w:eastAsia="ja-JP"/>
              </w:rPr>
              <w:t>UM</w:t>
            </w:r>
            <w:proofErr w:type="spellStart"/>
            <w:r>
              <w:rPr>
                <w:rFonts w:ascii="Times New Roman" w:hAnsi="Times New Roman" w:hint="eastAsia"/>
                <w:color w:val="000000"/>
                <w:szCs w:val="18"/>
                <w:lang w:val="en-US" w:eastAsia="zh-CN"/>
              </w:rPr>
              <w:t>i</w:t>
            </w:r>
            <w:proofErr w:type="spellEnd"/>
            <w:r>
              <w:rPr>
                <w:rFonts w:ascii="Times New Roman" w:hAnsi="Times New Roman" w:hint="eastAsia"/>
                <w:color w:val="000000"/>
                <w:szCs w:val="18"/>
                <w:lang w:val="en-US" w:eastAsia="zh-CN"/>
              </w:rPr>
              <w:t xml:space="preserve">  ISD</w:t>
            </w:r>
            <w:proofErr w:type="gramEnd"/>
            <w:r>
              <w:rPr>
                <w:rFonts w:ascii="Times New Roman" w:hAnsi="Times New Roman" w:hint="eastAsia"/>
                <w:color w:val="000000"/>
                <w:szCs w:val="18"/>
                <w:lang w:val="en-US" w:eastAsia="zh-CN"/>
              </w:rPr>
              <w:t>=200m</w:t>
            </w:r>
          </w:p>
        </w:tc>
      </w:tr>
      <w:tr w:rsidR="00C42F3E">
        <w:trPr>
          <w:trHeight w:val="90"/>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 xml:space="preserve">Antenna setup and port layouts at </w:t>
            </w:r>
            <w:proofErr w:type="spellStart"/>
            <w:r>
              <w:rPr>
                <w:color w:val="000000"/>
                <w:sz w:val="18"/>
                <w:szCs w:val="18"/>
              </w:rPr>
              <w:t>gNB</w:t>
            </w:r>
            <w:proofErr w:type="spellEnd"/>
          </w:p>
        </w:tc>
        <w:tc>
          <w:tcPr>
            <w:tcW w:w="4504" w:type="dxa"/>
            <w:shd w:val="clear" w:color="auto" w:fill="auto"/>
            <w:vAlign w:val="center"/>
          </w:tcPr>
          <w:p w:rsidR="00C42F3E" w:rsidRDefault="00040989">
            <w:pPr>
              <w:spacing w:after="0"/>
              <w:rPr>
                <w:color w:val="000000"/>
                <w:sz w:val="18"/>
                <w:szCs w:val="18"/>
              </w:rPr>
            </w:pPr>
            <w:r>
              <w:rPr>
                <w:rFonts w:hint="eastAsia"/>
                <w:color w:val="000000"/>
                <w:sz w:val="18"/>
                <w:szCs w:val="18"/>
              </w:rPr>
              <w:t xml:space="preserve">- 32 ports: </w:t>
            </w: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w:t>
            </w:r>
            <w:r>
              <w:rPr>
                <w:rFonts w:eastAsia="Malgun Gothic"/>
                <w:color w:val="000000"/>
                <w:kern w:val="24"/>
                <w:sz w:val="18"/>
                <w:szCs w:val="18"/>
                <w:lang w:val="sv-SE"/>
              </w:rPr>
              <w:t xml:space="preserve">Np) </w:t>
            </w:r>
            <w:proofErr w:type="gramStart"/>
            <w:r>
              <w:rPr>
                <w:rFonts w:eastAsia="Malgun Gothic"/>
                <w:color w:val="000000"/>
                <w:kern w:val="24"/>
                <w:sz w:val="18"/>
                <w:szCs w:val="18"/>
                <w:lang w:val="sv-SE"/>
              </w:rPr>
              <w:t>=(</w:t>
            </w:r>
            <w:proofErr w:type="gramEnd"/>
            <w:r>
              <w:rPr>
                <w:rFonts w:hint="eastAsia"/>
                <w:color w:val="000000"/>
                <w:kern w:val="24"/>
                <w:sz w:val="18"/>
                <w:szCs w:val="18"/>
              </w:rPr>
              <w:t>2</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2</w:t>
            </w:r>
            <w:r>
              <w:rPr>
                <w:color w:val="000000"/>
                <w:kern w:val="24"/>
                <w:sz w:val="18"/>
                <w:szCs w:val="18"/>
              </w:rPr>
              <w:t>,</w:t>
            </w:r>
            <w:r>
              <w:rPr>
                <w:rFonts w:hint="eastAsia"/>
                <w:color w:val="000000"/>
                <w:kern w:val="24"/>
                <w:sz w:val="18"/>
                <w:szCs w:val="18"/>
              </w:rPr>
              <w:t>8</w:t>
            </w:r>
            <w:r>
              <w:rPr>
                <w:color w:val="000000"/>
                <w:sz w:val="18"/>
                <w:szCs w:val="18"/>
              </w:rPr>
              <w:t>)</w:t>
            </w:r>
          </w:p>
          <w:p w:rsidR="00C42F3E" w:rsidRDefault="00040989">
            <w:pPr>
              <w:spacing w:after="0"/>
              <w:rPr>
                <w:color w:val="000000"/>
                <w:sz w:val="18"/>
                <w:szCs w:val="18"/>
              </w:rPr>
            </w:pPr>
            <w:r>
              <w:rPr>
                <w:color w:val="000000"/>
                <w:sz w:val="18"/>
                <w:szCs w:val="18"/>
              </w:rPr>
              <w:t>(</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0.8)</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Antenna setup and port layouts at UE</w:t>
            </w:r>
          </w:p>
        </w:tc>
        <w:tc>
          <w:tcPr>
            <w:tcW w:w="4504" w:type="dxa"/>
            <w:shd w:val="clear" w:color="auto" w:fill="auto"/>
            <w:noWrap/>
            <w:vAlign w:val="center"/>
          </w:tcPr>
          <w:p w:rsidR="00C42F3E" w:rsidRDefault="00040989">
            <w:pPr>
              <w:spacing w:after="0"/>
              <w:rPr>
                <w:color w:val="000000"/>
                <w:sz w:val="18"/>
                <w:szCs w:val="18"/>
              </w:rPr>
            </w:pPr>
            <w:r>
              <w:rPr>
                <w:color w:val="000000"/>
                <w:sz w:val="18"/>
                <w:szCs w:val="18"/>
              </w:rPr>
              <w:t xml:space="preserve">(M, N, P, Mg, Ng, </w:t>
            </w:r>
            <w:proofErr w:type="spellStart"/>
            <w:r>
              <w:rPr>
                <w:color w:val="000000"/>
                <w:sz w:val="18"/>
                <w:szCs w:val="18"/>
              </w:rPr>
              <w:t>Mp</w:t>
            </w:r>
            <w:proofErr w:type="spellEnd"/>
            <w:r>
              <w:rPr>
                <w:color w:val="000000"/>
                <w:sz w:val="18"/>
                <w:szCs w:val="18"/>
              </w:rPr>
              <w:t xml:space="preserve">, Np) </w:t>
            </w:r>
            <w:proofErr w:type="gramStart"/>
            <w:r>
              <w:rPr>
                <w:color w:val="000000"/>
                <w:sz w:val="18"/>
                <w:szCs w:val="18"/>
              </w:rPr>
              <w:t>=(</w:t>
            </w:r>
            <w:proofErr w:type="gramEnd"/>
            <w:r>
              <w:rPr>
                <w:color w:val="000000"/>
                <w:sz w:val="18"/>
                <w:szCs w:val="18"/>
              </w:rPr>
              <w:t>1,2,2,1,1,1,2)</w:t>
            </w:r>
          </w:p>
          <w:p w:rsidR="00C42F3E" w:rsidRDefault="00040989">
            <w:pPr>
              <w:spacing w:after="0"/>
              <w:rPr>
                <w:color w:val="000000"/>
                <w:sz w:val="18"/>
                <w:szCs w:val="18"/>
              </w:rPr>
            </w:pPr>
            <w:r>
              <w:rPr>
                <w:color w:val="000000"/>
                <w:sz w:val="18"/>
                <w:szCs w:val="18"/>
              </w:rPr>
              <w:t>(</w:t>
            </w:r>
            <w:proofErr w:type="spellStart"/>
            <w:r>
              <w:rPr>
                <w:color w:val="000000"/>
                <w:sz w:val="18"/>
                <w:szCs w:val="18"/>
              </w:rPr>
              <w:t>dH</w:t>
            </w:r>
            <w:proofErr w:type="spellEnd"/>
            <w:r>
              <w:rPr>
                <w:color w:val="000000"/>
                <w:sz w:val="18"/>
                <w:szCs w:val="18"/>
              </w:rPr>
              <w:t xml:space="preserve">, </w:t>
            </w:r>
            <w:proofErr w:type="spellStart"/>
            <w:r>
              <w:rPr>
                <w:color w:val="000000"/>
                <w:sz w:val="18"/>
                <w:szCs w:val="18"/>
              </w:rPr>
              <w:t>dV</w:t>
            </w:r>
            <w:proofErr w:type="spellEnd"/>
            <w:r>
              <w:rPr>
                <w:color w:val="000000"/>
                <w:sz w:val="18"/>
                <w:szCs w:val="18"/>
              </w:rPr>
              <w:t>) = (0.5, 0.5)</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Modulation</w:t>
            </w:r>
          </w:p>
        </w:tc>
        <w:tc>
          <w:tcPr>
            <w:tcW w:w="4504" w:type="dxa"/>
            <w:shd w:val="clear" w:color="auto" w:fill="auto"/>
            <w:noWrap/>
            <w:vAlign w:val="center"/>
          </w:tcPr>
          <w:p w:rsidR="00C42F3E" w:rsidRDefault="00040989">
            <w:pPr>
              <w:spacing w:after="0"/>
              <w:rPr>
                <w:color w:val="000000"/>
                <w:sz w:val="18"/>
                <w:szCs w:val="18"/>
              </w:rPr>
            </w:pPr>
            <w:r>
              <w:rPr>
                <w:color w:val="000000"/>
                <w:sz w:val="18"/>
                <w:szCs w:val="18"/>
              </w:rPr>
              <w:t xml:space="preserve">Up to 256QAM </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Tx power</w:t>
            </w:r>
          </w:p>
        </w:tc>
        <w:tc>
          <w:tcPr>
            <w:tcW w:w="4504" w:type="dxa"/>
            <w:shd w:val="clear" w:color="auto" w:fill="auto"/>
            <w:noWrap/>
            <w:vAlign w:val="center"/>
          </w:tcPr>
          <w:p w:rsidR="00C42F3E" w:rsidRDefault="00040989">
            <w:pPr>
              <w:spacing w:after="0"/>
              <w:rPr>
                <w:color w:val="000000"/>
                <w:sz w:val="18"/>
                <w:szCs w:val="18"/>
              </w:rPr>
            </w:pPr>
            <w:r>
              <w:rPr>
                <w:color w:val="000000"/>
                <w:sz w:val="18"/>
                <w:szCs w:val="18"/>
              </w:rPr>
              <w:t>4</w:t>
            </w:r>
            <w:r>
              <w:rPr>
                <w:rFonts w:hint="eastAsia"/>
                <w:color w:val="000000"/>
                <w:sz w:val="18"/>
                <w:szCs w:val="18"/>
              </w:rPr>
              <w:t>6</w:t>
            </w:r>
            <w:r>
              <w:rPr>
                <w:color w:val="000000"/>
                <w:sz w:val="18"/>
                <w:szCs w:val="18"/>
              </w:rPr>
              <w:t xml:space="preserve"> dBm</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UE Tx power</w:t>
            </w:r>
          </w:p>
        </w:tc>
        <w:tc>
          <w:tcPr>
            <w:tcW w:w="4504" w:type="dxa"/>
            <w:shd w:val="clear" w:color="auto" w:fill="auto"/>
            <w:noWrap/>
            <w:vAlign w:val="center"/>
          </w:tcPr>
          <w:p w:rsidR="00C42F3E" w:rsidRDefault="00040989">
            <w:pPr>
              <w:spacing w:after="0"/>
              <w:rPr>
                <w:color w:val="000000"/>
                <w:sz w:val="18"/>
                <w:szCs w:val="18"/>
              </w:rPr>
            </w:pPr>
            <w:r>
              <w:rPr>
                <w:color w:val="000000"/>
                <w:sz w:val="18"/>
                <w:szCs w:val="18"/>
              </w:rPr>
              <w:t>23dBm</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antenna height</w:t>
            </w:r>
          </w:p>
        </w:tc>
        <w:tc>
          <w:tcPr>
            <w:tcW w:w="4504" w:type="dxa"/>
            <w:shd w:val="clear" w:color="auto" w:fill="auto"/>
            <w:noWrap/>
            <w:vAlign w:val="center"/>
          </w:tcPr>
          <w:p w:rsidR="00C42F3E" w:rsidRDefault="00040989">
            <w:pPr>
              <w:spacing w:after="0"/>
              <w:rPr>
                <w:color w:val="000000"/>
                <w:sz w:val="18"/>
                <w:szCs w:val="18"/>
              </w:rPr>
            </w:pPr>
            <w:r>
              <w:rPr>
                <w:color w:val="000000"/>
                <w:sz w:val="18"/>
                <w:szCs w:val="18"/>
              </w:rPr>
              <w:t>25 m</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proofErr w:type="spellStart"/>
            <w:r>
              <w:rPr>
                <w:color w:val="000000"/>
                <w:sz w:val="18"/>
                <w:szCs w:val="18"/>
              </w:rPr>
              <w:t>gNB</w:t>
            </w:r>
            <w:proofErr w:type="spellEnd"/>
            <w:r>
              <w:rPr>
                <w:color w:val="000000"/>
                <w:sz w:val="18"/>
                <w:szCs w:val="18"/>
              </w:rPr>
              <w:t xml:space="preserve"> receiver noise figure</w:t>
            </w:r>
          </w:p>
        </w:tc>
        <w:tc>
          <w:tcPr>
            <w:tcW w:w="4504" w:type="dxa"/>
            <w:shd w:val="clear" w:color="auto" w:fill="auto"/>
            <w:noWrap/>
            <w:vAlign w:val="center"/>
          </w:tcPr>
          <w:p w:rsidR="00C42F3E" w:rsidRDefault="00040989">
            <w:pPr>
              <w:spacing w:after="0"/>
              <w:rPr>
                <w:color w:val="000000"/>
                <w:sz w:val="18"/>
                <w:szCs w:val="18"/>
              </w:rPr>
            </w:pPr>
            <w:r>
              <w:rPr>
                <w:color w:val="000000"/>
                <w:sz w:val="18"/>
                <w:szCs w:val="18"/>
                <w:lang w:eastAsia="ja-JP"/>
              </w:rPr>
              <w:t>5dB</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UE receiver noise figure</w:t>
            </w:r>
          </w:p>
        </w:tc>
        <w:tc>
          <w:tcPr>
            <w:tcW w:w="4504" w:type="dxa"/>
            <w:shd w:val="clear" w:color="auto" w:fill="auto"/>
            <w:noWrap/>
            <w:vAlign w:val="center"/>
          </w:tcPr>
          <w:p w:rsidR="00C42F3E" w:rsidRDefault="00040989">
            <w:pPr>
              <w:spacing w:after="0"/>
              <w:rPr>
                <w:color w:val="000000"/>
                <w:sz w:val="18"/>
                <w:szCs w:val="18"/>
              </w:rPr>
            </w:pPr>
            <w:r>
              <w:rPr>
                <w:color w:val="000000"/>
                <w:sz w:val="18"/>
                <w:szCs w:val="18"/>
              </w:rPr>
              <w:t>9dB</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Numerology</w:t>
            </w:r>
          </w:p>
        </w:tc>
        <w:tc>
          <w:tcPr>
            <w:tcW w:w="4504" w:type="dxa"/>
            <w:shd w:val="clear" w:color="auto" w:fill="auto"/>
            <w:noWrap/>
            <w:vAlign w:val="center"/>
          </w:tcPr>
          <w:p w:rsidR="00C42F3E" w:rsidRDefault="00040989">
            <w:pPr>
              <w:spacing w:after="0"/>
              <w:rPr>
                <w:color w:val="000000"/>
                <w:sz w:val="18"/>
                <w:szCs w:val="18"/>
              </w:rPr>
            </w:pPr>
            <w:r>
              <w:rPr>
                <w:color w:val="000000"/>
                <w:sz w:val="18"/>
                <w:szCs w:val="18"/>
              </w:rPr>
              <w:t xml:space="preserve">14 OFDM symbol </w:t>
            </w:r>
            <w:r>
              <w:rPr>
                <w:rFonts w:hint="eastAsia"/>
                <w:color w:val="000000"/>
                <w:sz w:val="18"/>
                <w:szCs w:val="18"/>
              </w:rPr>
              <w:t xml:space="preserve">per </w:t>
            </w:r>
            <w:r>
              <w:rPr>
                <w:color w:val="000000"/>
                <w:sz w:val="18"/>
                <w:szCs w:val="18"/>
              </w:rPr>
              <w:t xml:space="preserve">slot, </w:t>
            </w:r>
            <w:r>
              <w:rPr>
                <w:rFonts w:hint="eastAsia"/>
                <w:color w:val="000000"/>
                <w:sz w:val="18"/>
                <w:szCs w:val="18"/>
              </w:rPr>
              <w:t>15</w:t>
            </w:r>
            <w:r>
              <w:rPr>
                <w:color w:val="000000"/>
                <w:sz w:val="18"/>
                <w:szCs w:val="18"/>
              </w:rPr>
              <w:t>kHz SCS</w:t>
            </w:r>
          </w:p>
        </w:tc>
      </w:tr>
      <w:tr w:rsidR="00C42F3E">
        <w:trPr>
          <w:trHeight w:val="285"/>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Bandwidth</w:t>
            </w:r>
          </w:p>
        </w:tc>
        <w:tc>
          <w:tcPr>
            <w:tcW w:w="4504" w:type="dxa"/>
            <w:shd w:val="clear" w:color="auto" w:fill="auto"/>
            <w:noWrap/>
            <w:vAlign w:val="center"/>
          </w:tcPr>
          <w:p w:rsidR="00C42F3E" w:rsidRDefault="00040989">
            <w:pPr>
              <w:spacing w:after="0"/>
              <w:rPr>
                <w:color w:val="000000"/>
                <w:sz w:val="18"/>
                <w:szCs w:val="18"/>
              </w:rPr>
            </w:pPr>
            <w:r>
              <w:rPr>
                <w:rFonts w:hint="eastAsia"/>
                <w:color w:val="000000"/>
                <w:sz w:val="18"/>
                <w:szCs w:val="18"/>
              </w:rPr>
              <w:t>1</w:t>
            </w:r>
            <w:r>
              <w:rPr>
                <w:color w:val="000000"/>
                <w:sz w:val="18"/>
                <w:szCs w:val="18"/>
                <w:lang w:eastAsia="ja-JP"/>
              </w:rPr>
              <w:t>0MHz</w:t>
            </w:r>
            <w:r>
              <w:rPr>
                <w:rFonts w:hint="eastAsia"/>
                <w:color w:val="000000"/>
                <w:sz w:val="18"/>
                <w:szCs w:val="18"/>
              </w:rPr>
              <w:t>, 52RBs</w:t>
            </w:r>
          </w:p>
        </w:tc>
      </w:tr>
      <w:tr w:rsidR="00C42F3E">
        <w:trPr>
          <w:trHeight w:val="285"/>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UE receiver</w:t>
            </w:r>
          </w:p>
        </w:tc>
        <w:tc>
          <w:tcPr>
            <w:tcW w:w="4504" w:type="dxa"/>
            <w:shd w:val="clear" w:color="auto" w:fill="auto"/>
            <w:noWrap/>
            <w:vAlign w:val="center"/>
          </w:tcPr>
          <w:p w:rsidR="00C42F3E" w:rsidRDefault="00040989">
            <w:pPr>
              <w:spacing w:after="0"/>
              <w:rPr>
                <w:color w:val="000000"/>
                <w:sz w:val="18"/>
                <w:szCs w:val="18"/>
              </w:rPr>
            </w:pPr>
            <w:r>
              <w:rPr>
                <w:color w:val="000000"/>
                <w:sz w:val="18"/>
                <w:szCs w:val="18"/>
              </w:rPr>
              <w:t>MMSE-IRC</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Network Layout</w:t>
            </w:r>
          </w:p>
        </w:tc>
        <w:tc>
          <w:tcPr>
            <w:tcW w:w="4504" w:type="dxa"/>
            <w:shd w:val="clear" w:color="auto" w:fill="auto"/>
            <w:vAlign w:val="center"/>
          </w:tcPr>
          <w:p w:rsidR="00C42F3E" w:rsidRDefault="00040989">
            <w:pPr>
              <w:spacing w:after="0"/>
              <w:rPr>
                <w:color w:val="000000"/>
                <w:sz w:val="18"/>
                <w:szCs w:val="18"/>
              </w:rPr>
            </w:pPr>
            <w:r>
              <w:rPr>
                <w:rFonts w:hint="eastAsia"/>
                <w:color w:val="000000"/>
                <w:sz w:val="18"/>
                <w:szCs w:val="18"/>
              </w:rPr>
              <w:t>40</w:t>
            </w:r>
            <w:r>
              <w:rPr>
                <w:color w:val="000000"/>
                <w:sz w:val="18"/>
                <w:szCs w:val="18"/>
              </w:rPr>
              <w:t xml:space="preserve"> UEs per </w:t>
            </w:r>
            <w:r>
              <w:rPr>
                <w:rFonts w:hint="eastAsia"/>
                <w:color w:val="000000"/>
                <w:sz w:val="18"/>
                <w:szCs w:val="18"/>
              </w:rPr>
              <w:t>sec</w:t>
            </w:r>
            <w:r>
              <w:rPr>
                <w:color w:val="000000"/>
                <w:sz w:val="18"/>
                <w:szCs w:val="18"/>
              </w:rPr>
              <w:t xml:space="preserve"> (in a total of </w:t>
            </w:r>
            <w:r>
              <w:rPr>
                <w:rFonts w:hint="eastAsia"/>
                <w:color w:val="000000"/>
                <w:sz w:val="18"/>
                <w:szCs w:val="18"/>
              </w:rPr>
              <w:t>21</w:t>
            </w:r>
            <w:r>
              <w:rPr>
                <w:color w:val="000000"/>
                <w:sz w:val="18"/>
                <w:szCs w:val="18"/>
              </w:rPr>
              <w:t xml:space="preserve"> </w:t>
            </w:r>
            <w:r>
              <w:rPr>
                <w:rFonts w:hint="eastAsia"/>
                <w:color w:val="000000"/>
                <w:sz w:val="18"/>
                <w:szCs w:val="18"/>
              </w:rPr>
              <w:t>sec</w:t>
            </w:r>
            <w:r>
              <w:rPr>
                <w:color w:val="000000"/>
                <w:sz w:val="18"/>
                <w:szCs w:val="18"/>
              </w:rPr>
              <w:t>s)</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PMI/CQI feedback</w:t>
            </w:r>
          </w:p>
        </w:tc>
        <w:tc>
          <w:tcPr>
            <w:tcW w:w="4504" w:type="dxa"/>
            <w:shd w:val="clear" w:color="auto" w:fill="auto"/>
            <w:vAlign w:val="center"/>
          </w:tcPr>
          <w:p w:rsidR="00C42F3E" w:rsidRDefault="00040989">
            <w:pPr>
              <w:spacing w:after="0"/>
              <w:rPr>
                <w:color w:val="000000"/>
                <w:sz w:val="18"/>
                <w:szCs w:val="18"/>
              </w:rPr>
            </w:pPr>
            <w:r>
              <w:rPr>
                <w:color w:val="000000"/>
                <w:sz w:val="18"/>
                <w:szCs w:val="18"/>
              </w:rPr>
              <w:t>Subband</w:t>
            </w:r>
          </w:p>
        </w:tc>
      </w:tr>
      <w:tr w:rsidR="00C42F3E">
        <w:trPr>
          <w:trHeight w:val="64"/>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UE distribution</w:t>
            </w:r>
          </w:p>
        </w:tc>
        <w:tc>
          <w:tcPr>
            <w:tcW w:w="4504" w:type="dxa"/>
            <w:shd w:val="clear" w:color="auto" w:fill="auto"/>
            <w:vAlign w:val="center"/>
          </w:tcPr>
          <w:p w:rsidR="00C42F3E" w:rsidRDefault="00040989">
            <w:pPr>
              <w:spacing w:after="0"/>
              <w:rPr>
                <w:color w:val="000000"/>
                <w:sz w:val="18"/>
                <w:szCs w:val="18"/>
              </w:rPr>
            </w:pPr>
            <w:r>
              <w:rPr>
                <w:rFonts w:hint="eastAsia"/>
                <w:color w:val="000000"/>
                <w:sz w:val="18"/>
                <w:szCs w:val="18"/>
              </w:rPr>
              <w:t>20</w:t>
            </w:r>
            <w:r>
              <w:rPr>
                <w:color w:val="000000"/>
                <w:sz w:val="18"/>
                <w:szCs w:val="18"/>
              </w:rPr>
              <w:t>% outdoor (30km/h)</w:t>
            </w:r>
          </w:p>
        </w:tc>
      </w:tr>
      <w:tr w:rsidR="00C42F3E">
        <w:trPr>
          <w:trHeight w:val="50"/>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Traffic model</w:t>
            </w:r>
          </w:p>
        </w:tc>
        <w:tc>
          <w:tcPr>
            <w:tcW w:w="4504" w:type="dxa"/>
            <w:shd w:val="clear" w:color="auto" w:fill="auto"/>
            <w:vAlign w:val="center"/>
          </w:tcPr>
          <w:p w:rsidR="00C42F3E" w:rsidRDefault="00040989">
            <w:pPr>
              <w:spacing w:after="0"/>
              <w:rPr>
                <w:color w:val="000000"/>
                <w:sz w:val="18"/>
                <w:szCs w:val="18"/>
              </w:rPr>
            </w:pPr>
            <w:r>
              <w:rPr>
                <w:rFonts w:hint="eastAsia"/>
                <w:color w:val="000000"/>
                <w:sz w:val="18"/>
                <w:szCs w:val="18"/>
              </w:rPr>
              <w:t>FTP</w:t>
            </w:r>
          </w:p>
        </w:tc>
      </w:tr>
      <w:tr w:rsidR="00C42F3E">
        <w:trPr>
          <w:trHeight w:val="205"/>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CSI feedback</w:t>
            </w:r>
            <w:r>
              <w:rPr>
                <w:rFonts w:hint="eastAsia"/>
                <w:color w:val="000000"/>
                <w:sz w:val="18"/>
                <w:szCs w:val="18"/>
              </w:rPr>
              <w:t xml:space="preserve"> delay</w:t>
            </w:r>
          </w:p>
        </w:tc>
        <w:tc>
          <w:tcPr>
            <w:tcW w:w="4504" w:type="dxa"/>
            <w:shd w:val="clear" w:color="auto" w:fill="auto"/>
            <w:vAlign w:val="center"/>
          </w:tcPr>
          <w:p w:rsidR="00C42F3E" w:rsidRDefault="00040989">
            <w:pPr>
              <w:spacing w:after="0"/>
              <w:rPr>
                <w:color w:val="000000"/>
                <w:sz w:val="18"/>
                <w:szCs w:val="18"/>
              </w:rPr>
            </w:pPr>
            <w:r>
              <w:rPr>
                <w:rFonts w:hint="eastAsia"/>
                <w:color w:val="000000"/>
                <w:sz w:val="18"/>
                <w:szCs w:val="18"/>
              </w:rPr>
              <w:t>5ms</w:t>
            </w:r>
          </w:p>
        </w:tc>
      </w:tr>
      <w:tr w:rsidR="00C42F3E">
        <w:trPr>
          <w:trHeight w:val="378"/>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MIMO scheme</w:t>
            </w:r>
          </w:p>
        </w:tc>
        <w:tc>
          <w:tcPr>
            <w:tcW w:w="4504" w:type="dxa"/>
            <w:shd w:val="clear" w:color="auto" w:fill="auto"/>
            <w:vAlign w:val="center"/>
          </w:tcPr>
          <w:p w:rsidR="00C42F3E" w:rsidRDefault="00040989">
            <w:pPr>
              <w:spacing w:after="0"/>
              <w:rPr>
                <w:color w:val="000000"/>
                <w:sz w:val="18"/>
                <w:szCs w:val="18"/>
              </w:rPr>
            </w:pPr>
            <w:r>
              <w:rPr>
                <w:rFonts w:hint="eastAsia"/>
                <w:color w:val="000000"/>
                <w:sz w:val="18"/>
                <w:szCs w:val="18"/>
              </w:rPr>
              <w:t>S</w:t>
            </w:r>
            <w:r>
              <w:rPr>
                <w:color w:val="000000"/>
                <w:sz w:val="18"/>
                <w:szCs w:val="18"/>
              </w:rPr>
              <w:t>U-MIMO with rank adaptation</w:t>
            </w:r>
          </w:p>
          <w:p w:rsidR="00C42F3E" w:rsidRDefault="00040989">
            <w:pPr>
              <w:spacing w:after="0"/>
              <w:rPr>
                <w:color w:val="000000"/>
                <w:sz w:val="18"/>
                <w:szCs w:val="18"/>
              </w:rPr>
            </w:pPr>
            <w:r>
              <w:rPr>
                <w:color w:val="000000"/>
                <w:sz w:val="18"/>
                <w:szCs w:val="18"/>
              </w:rPr>
              <w:t>Maximum rank = 4 per UE</w:t>
            </w:r>
          </w:p>
        </w:tc>
      </w:tr>
      <w:tr w:rsidR="00C42F3E">
        <w:trPr>
          <w:trHeight w:val="471"/>
          <w:jc w:val="center"/>
        </w:trPr>
        <w:tc>
          <w:tcPr>
            <w:tcW w:w="3392" w:type="dxa"/>
            <w:shd w:val="clear" w:color="auto" w:fill="auto"/>
            <w:vAlign w:val="center"/>
          </w:tcPr>
          <w:p w:rsidR="00C42F3E" w:rsidRDefault="00040989">
            <w:pPr>
              <w:spacing w:after="0"/>
              <w:jc w:val="center"/>
              <w:rPr>
                <w:color w:val="000000"/>
                <w:sz w:val="18"/>
                <w:szCs w:val="18"/>
              </w:rPr>
            </w:pPr>
            <w:r>
              <w:rPr>
                <w:color w:val="000000"/>
                <w:sz w:val="18"/>
                <w:szCs w:val="18"/>
              </w:rPr>
              <w:t>Performance metrics</w:t>
            </w:r>
          </w:p>
        </w:tc>
        <w:tc>
          <w:tcPr>
            <w:tcW w:w="4504" w:type="dxa"/>
            <w:shd w:val="clear" w:color="auto" w:fill="auto"/>
            <w:vAlign w:val="center"/>
          </w:tcPr>
          <w:p w:rsidR="00C42F3E" w:rsidRDefault="00040989">
            <w:pPr>
              <w:spacing w:after="0"/>
              <w:rPr>
                <w:color w:val="000000"/>
                <w:sz w:val="18"/>
                <w:szCs w:val="18"/>
              </w:rPr>
            </w:pPr>
            <w:r>
              <w:rPr>
                <w:rFonts w:hint="eastAsia"/>
                <w:color w:val="000000"/>
                <w:sz w:val="18"/>
                <w:szCs w:val="18"/>
              </w:rPr>
              <w:t>5%-</w:t>
            </w:r>
            <w:proofErr w:type="spellStart"/>
            <w:r>
              <w:rPr>
                <w:rFonts w:hint="eastAsia"/>
                <w:color w:val="000000"/>
                <w:sz w:val="18"/>
                <w:szCs w:val="18"/>
              </w:rPr>
              <w:t>ile</w:t>
            </w:r>
            <w:proofErr w:type="spellEnd"/>
            <w:r>
              <w:rPr>
                <w:rFonts w:hint="eastAsia"/>
                <w:color w:val="000000"/>
                <w:sz w:val="18"/>
                <w:szCs w:val="18"/>
              </w:rPr>
              <w:t xml:space="preserve"> and </w:t>
            </w:r>
            <w:r>
              <w:rPr>
                <w:color w:val="000000"/>
                <w:sz w:val="18"/>
                <w:szCs w:val="18"/>
              </w:rPr>
              <w:t>Average UPT</w:t>
            </w:r>
          </w:p>
        </w:tc>
      </w:tr>
    </w:tbl>
    <w:p w:rsidR="00C42F3E" w:rsidRDefault="00040989">
      <w:pPr>
        <w:snapToGrid w:val="0"/>
        <w:spacing w:beforeLines="30" w:before="72" w:afterLines="30" w:after="72" w:line="288" w:lineRule="auto"/>
        <w:jc w:val="center"/>
      </w:pPr>
      <w:r>
        <w:rPr>
          <w:rFonts w:hint="eastAsia"/>
          <w:b/>
          <w:bCs/>
        </w:rPr>
        <w:t xml:space="preserve">Table </w:t>
      </w:r>
      <w:r>
        <w:rPr>
          <w:b/>
          <w:bCs/>
        </w:rPr>
        <w:t>2</w:t>
      </w:r>
      <w:r>
        <w:rPr>
          <w:rFonts w:hint="eastAsia"/>
        </w:rPr>
        <w:t xml:space="preserve"> SLS assumptions for the performance evaluation of inter-TRP time/frequency calibration</w:t>
      </w:r>
    </w:p>
    <w:tbl>
      <w:tblPr>
        <w:tblStyle w:val="af9"/>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2223"/>
      </w:tblGrid>
      <w:tr w:rsidR="00C42F3E">
        <w:trPr>
          <w:trHeight w:val="313"/>
          <w:jc w:val="center"/>
        </w:trPr>
        <w:tc>
          <w:tcPr>
            <w:tcW w:w="3068" w:type="dxa"/>
            <w:shd w:val="clear" w:color="auto" w:fill="BFBFBF" w:themeFill="background1" w:themeFillShade="BF"/>
            <w:vAlign w:val="center"/>
          </w:tcPr>
          <w:p w:rsidR="00C42F3E" w:rsidRDefault="00040989">
            <w:pPr>
              <w:spacing w:after="0" w:line="240" w:lineRule="auto"/>
              <w:jc w:val="center"/>
            </w:pPr>
            <w:r>
              <w:rPr>
                <w:rFonts w:hint="eastAsia"/>
                <w:b/>
                <w:bCs/>
              </w:rPr>
              <w:t>Parameter</w:t>
            </w:r>
          </w:p>
        </w:tc>
        <w:tc>
          <w:tcPr>
            <w:tcW w:w="2223" w:type="dxa"/>
            <w:shd w:val="clear" w:color="auto" w:fill="BFBFBF" w:themeFill="background1" w:themeFillShade="BF"/>
            <w:vAlign w:val="center"/>
          </w:tcPr>
          <w:p w:rsidR="00C42F3E" w:rsidRDefault="00040989">
            <w:pPr>
              <w:spacing w:after="0" w:line="240" w:lineRule="auto"/>
              <w:jc w:val="center"/>
              <w:rPr>
                <w:b/>
                <w:bCs/>
              </w:rPr>
            </w:pPr>
            <w:r>
              <w:rPr>
                <w:rFonts w:hint="eastAsia"/>
                <w:b/>
                <w:bCs/>
              </w:rPr>
              <w:t>Value</w:t>
            </w:r>
          </w:p>
        </w:tc>
      </w:tr>
      <w:tr w:rsidR="00C42F3E">
        <w:trPr>
          <w:trHeight w:val="313"/>
          <w:jc w:val="center"/>
        </w:trPr>
        <w:tc>
          <w:tcPr>
            <w:tcW w:w="3068" w:type="dxa"/>
            <w:vAlign w:val="center"/>
          </w:tcPr>
          <w:p w:rsidR="00C42F3E" w:rsidRDefault="00040989">
            <w:pPr>
              <w:spacing w:after="0" w:line="240" w:lineRule="auto"/>
              <w:jc w:val="center"/>
            </w:pPr>
            <w:r>
              <w:rPr>
                <w:rFonts w:hint="eastAsia"/>
              </w:rPr>
              <w:t>Number of antenna ports</w:t>
            </w:r>
          </w:p>
        </w:tc>
        <w:tc>
          <w:tcPr>
            <w:tcW w:w="2223" w:type="dxa"/>
            <w:vAlign w:val="center"/>
          </w:tcPr>
          <w:p w:rsidR="00C42F3E" w:rsidRDefault="00040989">
            <w:pPr>
              <w:spacing w:after="0" w:line="240" w:lineRule="auto"/>
              <w:jc w:val="center"/>
            </w:pPr>
            <w:r>
              <w:t>16T/4R</w:t>
            </w:r>
          </w:p>
        </w:tc>
      </w:tr>
      <w:tr w:rsidR="00C42F3E">
        <w:trPr>
          <w:trHeight w:val="313"/>
          <w:jc w:val="center"/>
        </w:trPr>
        <w:tc>
          <w:tcPr>
            <w:tcW w:w="3068" w:type="dxa"/>
            <w:vAlign w:val="center"/>
          </w:tcPr>
          <w:p w:rsidR="00C42F3E" w:rsidRDefault="00040989">
            <w:pPr>
              <w:spacing w:after="0" w:line="240" w:lineRule="auto"/>
              <w:jc w:val="center"/>
            </w:pPr>
            <w:r>
              <w:rPr>
                <w:rFonts w:hint="eastAsia"/>
              </w:rPr>
              <w:t>Number of TRPs</w:t>
            </w:r>
          </w:p>
        </w:tc>
        <w:tc>
          <w:tcPr>
            <w:tcW w:w="2223" w:type="dxa"/>
            <w:vAlign w:val="center"/>
          </w:tcPr>
          <w:p w:rsidR="00C42F3E" w:rsidRDefault="00040989">
            <w:pPr>
              <w:spacing w:after="0" w:line="240" w:lineRule="auto"/>
              <w:jc w:val="center"/>
            </w:pPr>
            <w:r>
              <w:rPr>
                <w:rFonts w:hint="eastAsia"/>
              </w:rPr>
              <w:t>Up to 3</w:t>
            </w:r>
          </w:p>
        </w:tc>
      </w:tr>
      <w:tr w:rsidR="00C42F3E">
        <w:trPr>
          <w:trHeight w:val="313"/>
          <w:jc w:val="center"/>
        </w:trPr>
        <w:tc>
          <w:tcPr>
            <w:tcW w:w="3068" w:type="dxa"/>
            <w:vAlign w:val="center"/>
          </w:tcPr>
          <w:p w:rsidR="00C42F3E" w:rsidRDefault="00040989">
            <w:pPr>
              <w:spacing w:after="0" w:line="240" w:lineRule="auto"/>
              <w:jc w:val="center"/>
            </w:pPr>
            <w:r>
              <w:rPr>
                <w:rFonts w:hint="eastAsia"/>
              </w:rPr>
              <w:t>Carrier frequency</w:t>
            </w:r>
          </w:p>
        </w:tc>
        <w:tc>
          <w:tcPr>
            <w:tcW w:w="2223" w:type="dxa"/>
            <w:vAlign w:val="center"/>
          </w:tcPr>
          <w:p w:rsidR="00C42F3E" w:rsidRDefault="00040989">
            <w:pPr>
              <w:spacing w:after="0" w:line="240" w:lineRule="auto"/>
              <w:jc w:val="center"/>
            </w:pPr>
            <w:r>
              <w:rPr>
                <w:rFonts w:hint="eastAsia"/>
              </w:rPr>
              <w:t>2GHz</w:t>
            </w:r>
          </w:p>
        </w:tc>
      </w:tr>
      <w:tr w:rsidR="00C42F3E">
        <w:trPr>
          <w:trHeight w:val="313"/>
          <w:jc w:val="center"/>
        </w:trPr>
        <w:tc>
          <w:tcPr>
            <w:tcW w:w="3068" w:type="dxa"/>
            <w:vAlign w:val="center"/>
          </w:tcPr>
          <w:p w:rsidR="00C42F3E" w:rsidRDefault="00040989">
            <w:pPr>
              <w:spacing w:after="0" w:line="240" w:lineRule="auto"/>
              <w:jc w:val="center"/>
            </w:pPr>
            <w:r>
              <w:rPr>
                <w:rFonts w:hint="eastAsia"/>
              </w:rPr>
              <w:t>Frequency bandwidth</w:t>
            </w:r>
          </w:p>
        </w:tc>
        <w:tc>
          <w:tcPr>
            <w:tcW w:w="2223" w:type="dxa"/>
            <w:vAlign w:val="center"/>
          </w:tcPr>
          <w:p w:rsidR="00C42F3E" w:rsidRDefault="00040989">
            <w:pPr>
              <w:spacing w:after="0" w:line="240" w:lineRule="auto"/>
              <w:jc w:val="center"/>
            </w:pPr>
            <w:r>
              <w:t>52 RBs (10MHz)</w:t>
            </w:r>
          </w:p>
        </w:tc>
      </w:tr>
      <w:tr w:rsidR="00C42F3E">
        <w:trPr>
          <w:trHeight w:val="313"/>
          <w:jc w:val="center"/>
        </w:trPr>
        <w:tc>
          <w:tcPr>
            <w:tcW w:w="3068" w:type="dxa"/>
            <w:vAlign w:val="center"/>
          </w:tcPr>
          <w:p w:rsidR="00C42F3E" w:rsidRDefault="00040989">
            <w:pPr>
              <w:spacing w:after="0" w:line="240" w:lineRule="auto"/>
              <w:jc w:val="center"/>
            </w:pPr>
            <w:r>
              <w:t>Freq</w:t>
            </w:r>
            <w:r>
              <w:rPr>
                <w:rFonts w:hint="eastAsia"/>
              </w:rPr>
              <w:t>uency</w:t>
            </w:r>
            <w:r>
              <w:t xml:space="preserve"> sync</w:t>
            </w:r>
            <w:r>
              <w:rPr>
                <w:rFonts w:hint="eastAsia"/>
              </w:rPr>
              <w:t>hronization</w:t>
            </w:r>
            <w:r>
              <w:t xml:space="preserve"> error</w:t>
            </w:r>
          </w:p>
        </w:tc>
        <w:tc>
          <w:tcPr>
            <w:tcW w:w="2223" w:type="dxa"/>
            <w:vAlign w:val="center"/>
          </w:tcPr>
          <w:p w:rsidR="00C42F3E" w:rsidRDefault="00040989">
            <w:pPr>
              <w:spacing w:after="0" w:line="240" w:lineRule="auto"/>
              <w:jc w:val="center"/>
            </w:pPr>
            <w:r>
              <w:t>0.01 ppm per TRP</w:t>
            </w:r>
          </w:p>
        </w:tc>
      </w:tr>
      <w:tr w:rsidR="00C42F3E">
        <w:trPr>
          <w:trHeight w:val="313"/>
          <w:jc w:val="center"/>
        </w:trPr>
        <w:tc>
          <w:tcPr>
            <w:tcW w:w="3068" w:type="dxa"/>
            <w:vAlign w:val="center"/>
          </w:tcPr>
          <w:p w:rsidR="00C42F3E" w:rsidRDefault="00040989">
            <w:pPr>
              <w:spacing w:after="0" w:line="240" w:lineRule="auto"/>
              <w:jc w:val="center"/>
            </w:pPr>
            <w:r>
              <w:rPr>
                <w:rFonts w:hint="eastAsia"/>
              </w:rPr>
              <w:t>Inter-site distance</w:t>
            </w:r>
          </w:p>
        </w:tc>
        <w:tc>
          <w:tcPr>
            <w:tcW w:w="2223" w:type="dxa"/>
            <w:shd w:val="clear" w:color="auto" w:fill="auto"/>
            <w:vAlign w:val="center"/>
          </w:tcPr>
          <w:p w:rsidR="00C42F3E" w:rsidRDefault="00040989">
            <w:pPr>
              <w:spacing w:after="0" w:line="240" w:lineRule="auto"/>
              <w:jc w:val="center"/>
            </w:pPr>
            <w:r>
              <w:t>500m/800m</w:t>
            </w:r>
          </w:p>
        </w:tc>
      </w:tr>
      <w:tr w:rsidR="00C42F3E">
        <w:trPr>
          <w:trHeight w:val="320"/>
          <w:jc w:val="center"/>
        </w:trPr>
        <w:tc>
          <w:tcPr>
            <w:tcW w:w="3068" w:type="dxa"/>
            <w:vAlign w:val="center"/>
          </w:tcPr>
          <w:p w:rsidR="00C42F3E" w:rsidRDefault="00040989">
            <w:pPr>
              <w:spacing w:after="0" w:line="240" w:lineRule="auto"/>
              <w:jc w:val="center"/>
            </w:pPr>
            <w:r>
              <w:t xml:space="preserve">CSI-RS </w:t>
            </w:r>
            <w:r>
              <w:rPr>
                <w:rFonts w:hint="eastAsia"/>
              </w:rPr>
              <w:t>p</w:t>
            </w:r>
            <w:r>
              <w:t>eriodicity</w:t>
            </w:r>
          </w:p>
        </w:tc>
        <w:tc>
          <w:tcPr>
            <w:tcW w:w="2223" w:type="dxa"/>
            <w:vAlign w:val="center"/>
          </w:tcPr>
          <w:p w:rsidR="00C42F3E" w:rsidRDefault="00040989">
            <w:pPr>
              <w:spacing w:after="0" w:line="240" w:lineRule="auto"/>
              <w:jc w:val="center"/>
            </w:pPr>
            <w:r>
              <w:t>5 slots</w:t>
            </w:r>
          </w:p>
        </w:tc>
      </w:tr>
      <w:tr w:rsidR="00C42F3E">
        <w:trPr>
          <w:trHeight w:val="320"/>
          <w:jc w:val="center"/>
        </w:trPr>
        <w:tc>
          <w:tcPr>
            <w:tcW w:w="3068" w:type="dxa"/>
            <w:vAlign w:val="center"/>
          </w:tcPr>
          <w:p w:rsidR="00C42F3E" w:rsidRDefault="00040989">
            <w:pPr>
              <w:spacing w:after="0" w:line="240" w:lineRule="auto"/>
              <w:jc w:val="center"/>
            </w:pPr>
            <w:r>
              <w:t>Feedback delay</w:t>
            </w:r>
          </w:p>
        </w:tc>
        <w:tc>
          <w:tcPr>
            <w:tcW w:w="2223" w:type="dxa"/>
            <w:vAlign w:val="center"/>
          </w:tcPr>
          <w:p w:rsidR="00C42F3E" w:rsidRDefault="00040989">
            <w:pPr>
              <w:spacing w:after="0" w:line="240" w:lineRule="auto"/>
              <w:jc w:val="center"/>
            </w:pPr>
            <w:r>
              <w:t>4 slots</w:t>
            </w:r>
          </w:p>
        </w:tc>
      </w:tr>
      <w:tr w:rsidR="00C42F3E">
        <w:trPr>
          <w:trHeight w:val="320"/>
          <w:jc w:val="center"/>
        </w:trPr>
        <w:tc>
          <w:tcPr>
            <w:tcW w:w="3068" w:type="dxa"/>
            <w:vAlign w:val="center"/>
          </w:tcPr>
          <w:p w:rsidR="00C42F3E" w:rsidRDefault="00040989">
            <w:pPr>
              <w:spacing w:after="0" w:line="240" w:lineRule="auto"/>
              <w:jc w:val="center"/>
            </w:pPr>
            <w:r>
              <w:t>CSI subband</w:t>
            </w:r>
          </w:p>
        </w:tc>
        <w:tc>
          <w:tcPr>
            <w:tcW w:w="2223" w:type="dxa"/>
            <w:vAlign w:val="center"/>
          </w:tcPr>
          <w:p w:rsidR="00C42F3E" w:rsidRDefault="00040989">
            <w:pPr>
              <w:spacing w:after="0" w:line="240" w:lineRule="auto"/>
              <w:jc w:val="center"/>
            </w:pPr>
            <w:r>
              <w:t>4 RB &amp; R=2</w:t>
            </w:r>
          </w:p>
        </w:tc>
      </w:tr>
    </w:tbl>
    <w:p w:rsidR="00C42F3E" w:rsidRDefault="00C42F3E" w:rsidP="00196898">
      <w:pPr>
        <w:rPr>
          <w:bCs/>
          <w:szCs w:val="20"/>
        </w:rPr>
      </w:pPr>
    </w:p>
    <w:sectPr w:rsidR="00C42F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D71" w:rsidRDefault="000E1D71">
      <w:pPr>
        <w:spacing w:line="240" w:lineRule="auto"/>
      </w:pPr>
      <w:r>
        <w:separator/>
      </w:r>
    </w:p>
  </w:endnote>
  <w:endnote w:type="continuationSeparator" w:id="0">
    <w:p w:rsidR="000E1D71" w:rsidRDefault="000E1D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D71" w:rsidRDefault="000E1D71">
      <w:pPr>
        <w:spacing w:before="0" w:after="0"/>
      </w:pPr>
      <w:r>
        <w:separator/>
      </w:r>
    </w:p>
  </w:footnote>
  <w:footnote w:type="continuationSeparator" w:id="0">
    <w:p w:rsidR="000E1D71" w:rsidRDefault="000E1D7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349D2D47"/>
    <w:multiLevelType w:val="multilevel"/>
    <w:tmpl w:val="349D2D4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C7F035B"/>
    <w:multiLevelType w:val="multilevel"/>
    <w:tmpl w:val="3C7F035B"/>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8"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721B91"/>
    <w:multiLevelType w:val="multilevel"/>
    <w:tmpl w:val="44721B91"/>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93823A"/>
    <w:multiLevelType w:val="singleLevel"/>
    <w:tmpl w:val="5E93823A"/>
    <w:lvl w:ilvl="0">
      <w:start w:val="1"/>
      <w:numFmt w:val="decimal"/>
      <w:suff w:val="space"/>
      <w:lvlText w:val="[%1]"/>
      <w:lvlJc w:val="left"/>
    </w:lvl>
  </w:abstractNum>
  <w:abstractNum w:abstractNumId="15"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0"/>
  </w:num>
  <w:num w:numId="4">
    <w:abstractNumId w:val="2"/>
  </w:num>
  <w:num w:numId="5">
    <w:abstractNumId w:val="17"/>
  </w:num>
  <w:num w:numId="6">
    <w:abstractNumId w:val="11"/>
  </w:num>
  <w:num w:numId="7">
    <w:abstractNumId w:val="7"/>
  </w:num>
  <w:num w:numId="8">
    <w:abstractNumId w:val="4"/>
  </w:num>
  <w:num w:numId="9">
    <w:abstractNumId w:val="21"/>
  </w:num>
  <w:num w:numId="10">
    <w:abstractNumId w:val="8"/>
  </w:num>
  <w:num w:numId="11">
    <w:abstractNumId w:val="18"/>
  </w:num>
  <w:num w:numId="12">
    <w:abstractNumId w:val="5"/>
  </w:num>
  <w:num w:numId="13">
    <w:abstractNumId w:val="19"/>
  </w:num>
  <w:num w:numId="14">
    <w:abstractNumId w:val="15"/>
  </w:num>
  <w:num w:numId="15">
    <w:abstractNumId w:val="3"/>
  </w:num>
  <w:num w:numId="16">
    <w:abstractNumId w:val="10"/>
  </w:num>
  <w:num w:numId="17">
    <w:abstractNumId w:val="12"/>
  </w:num>
  <w:num w:numId="18">
    <w:abstractNumId w:val="13"/>
  </w:num>
  <w:num w:numId="19">
    <w:abstractNumId w:val="16"/>
  </w:num>
  <w:num w:numId="20">
    <w:abstractNumId w:val="22"/>
  </w:num>
  <w:num w:numId="21">
    <w:abstractNumId w:val="9"/>
  </w:num>
  <w:num w:numId="22">
    <w:abstractNumId w:val="6"/>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7CA"/>
    <w:rsid w:val="00002C54"/>
    <w:rsid w:val="00002EA0"/>
    <w:rsid w:val="0000349F"/>
    <w:rsid w:val="000038B7"/>
    <w:rsid w:val="00003A61"/>
    <w:rsid w:val="000044E2"/>
    <w:rsid w:val="00004558"/>
    <w:rsid w:val="000049A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222D"/>
    <w:rsid w:val="00032289"/>
    <w:rsid w:val="000322B0"/>
    <w:rsid w:val="000326FB"/>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12E"/>
    <w:rsid w:val="0005129A"/>
    <w:rsid w:val="000518D2"/>
    <w:rsid w:val="000519B5"/>
    <w:rsid w:val="00051A81"/>
    <w:rsid w:val="00051CF3"/>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B6"/>
    <w:rsid w:val="00080DAA"/>
    <w:rsid w:val="0008126C"/>
    <w:rsid w:val="000816E9"/>
    <w:rsid w:val="000819A5"/>
    <w:rsid w:val="00081CE4"/>
    <w:rsid w:val="00081D69"/>
    <w:rsid w:val="00082030"/>
    <w:rsid w:val="000822F4"/>
    <w:rsid w:val="00082D34"/>
    <w:rsid w:val="00082E47"/>
    <w:rsid w:val="00082E4E"/>
    <w:rsid w:val="000834E5"/>
    <w:rsid w:val="00083875"/>
    <w:rsid w:val="000838D2"/>
    <w:rsid w:val="000839F3"/>
    <w:rsid w:val="000848BD"/>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51E"/>
    <w:rsid w:val="000955A4"/>
    <w:rsid w:val="00095C93"/>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3027"/>
    <w:rsid w:val="000C33BB"/>
    <w:rsid w:val="000C3539"/>
    <w:rsid w:val="000C395E"/>
    <w:rsid w:val="000C3BDA"/>
    <w:rsid w:val="000C4240"/>
    <w:rsid w:val="000C429A"/>
    <w:rsid w:val="000C45FE"/>
    <w:rsid w:val="000C4972"/>
    <w:rsid w:val="000C4ECD"/>
    <w:rsid w:val="000C5442"/>
    <w:rsid w:val="000C577F"/>
    <w:rsid w:val="000C5E7D"/>
    <w:rsid w:val="000C62FC"/>
    <w:rsid w:val="000C64C0"/>
    <w:rsid w:val="000C6632"/>
    <w:rsid w:val="000C6C88"/>
    <w:rsid w:val="000C735C"/>
    <w:rsid w:val="000C7443"/>
    <w:rsid w:val="000C7512"/>
    <w:rsid w:val="000C7BB1"/>
    <w:rsid w:val="000C7D1C"/>
    <w:rsid w:val="000C7FB7"/>
    <w:rsid w:val="000D05EC"/>
    <w:rsid w:val="000D09B9"/>
    <w:rsid w:val="000D0C3A"/>
    <w:rsid w:val="000D152D"/>
    <w:rsid w:val="000D163C"/>
    <w:rsid w:val="000D19B9"/>
    <w:rsid w:val="000D1A03"/>
    <w:rsid w:val="000D1AB9"/>
    <w:rsid w:val="000D1B0E"/>
    <w:rsid w:val="000D1BD9"/>
    <w:rsid w:val="000D2665"/>
    <w:rsid w:val="000D2AF0"/>
    <w:rsid w:val="000D2C0B"/>
    <w:rsid w:val="000D33FF"/>
    <w:rsid w:val="000D3518"/>
    <w:rsid w:val="000D359F"/>
    <w:rsid w:val="000D390D"/>
    <w:rsid w:val="000D3C7C"/>
    <w:rsid w:val="000D3D1E"/>
    <w:rsid w:val="000D3F3F"/>
    <w:rsid w:val="000D44B1"/>
    <w:rsid w:val="000D463D"/>
    <w:rsid w:val="000D4C91"/>
    <w:rsid w:val="000D4ECB"/>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003"/>
    <w:rsid w:val="000F3136"/>
    <w:rsid w:val="000F374D"/>
    <w:rsid w:val="000F3AB4"/>
    <w:rsid w:val="000F3FB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6C91"/>
    <w:rsid w:val="00107894"/>
    <w:rsid w:val="00107BF2"/>
    <w:rsid w:val="00107D9C"/>
    <w:rsid w:val="00110751"/>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C2"/>
    <w:rsid w:val="00137C47"/>
    <w:rsid w:val="00137C6E"/>
    <w:rsid w:val="001404E2"/>
    <w:rsid w:val="001405C3"/>
    <w:rsid w:val="00140803"/>
    <w:rsid w:val="00140944"/>
    <w:rsid w:val="00140A5E"/>
    <w:rsid w:val="00140E7D"/>
    <w:rsid w:val="00140FDF"/>
    <w:rsid w:val="00141114"/>
    <w:rsid w:val="0014122F"/>
    <w:rsid w:val="001413F3"/>
    <w:rsid w:val="001417C1"/>
    <w:rsid w:val="0014195F"/>
    <w:rsid w:val="001419D4"/>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47D"/>
    <w:rsid w:val="001E14E7"/>
    <w:rsid w:val="001E16BA"/>
    <w:rsid w:val="001E16D4"/>
    <w:rsid w:val="001E1705"/>
    <w:rsid w:val="001E1760"/>
    <w:rsid w:val="001E1A77"/>
    <w:rsid w:val="001E244C"/>
    <w:rsid w:val="001E2717"/>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130A"/>
    <w:rsid w:val="00201595"/>
    <w:rsid w:val="002016F0"/>
    <w:rsid w:val="00201915"/>
    <w:rsid w:val="00201AF1"/>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F1A"/>
    <w:rsid w:val="0022100B"/>
    <w:rsid w:val="002215D5"/>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EB4"/>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5C88"/>
    <w:rsid w:val="002C6077"/>
    <w:rsid w:val="002C6903"/>
    <w:rsid w:val="002C6B21"/>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5FA"/>
    <w:rsid w:val="002E5CF5"/>
    <w:rsid w:val="002E62E1"/>
    <w:rsid w:val="002E7018"/>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51"/>
    <w:rsid w:val="00304EFD"/>
    <w:rsid w:val="0030522A"/>
    <w:rsid w:val="003053A2"/>
    <w:rsid w:val="00305493"/>
    <w:rsid w:val="0030574F"/>
    <w:rsid w:val="00305FE1"/>
    <w:rsid w:val="00306202"/>
    <w:rsid w:val="0030634C"/>
    <w:rsid w:val="003067AB"/>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F6"/>
    <w:rsid w:val="00321047"/>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38C1"/>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480"/>
    <w:rsid w:val="003644EB"/>
    <w:rsid w:val="00364B78"/>
    <w:rsid w:val="00364C93"/>
    <w:rsid w:val="00364D06"/>
    <w:rsid w:val="003652B2"/>
    <w:rsid w:val="00365414"/>
    <w:rsid w:val="0036615F"/>
    <w:rsid w:val="00366816"/>
    <w:rsid w:val="00366AF5"/>
    <w:rsid w:val="00366D19"/>
    <w:rsid w:val="00366E5E"/>
    <w:rsid w:val="00367107"/>
    <w:rsid w:val="00367109"/>
    <w:rsid w:val="00367765"/>
    <w:rsid w:val="0036794F"/>
    <w:rsid w:val="00367FCB"/>
    <w:rsid w:val="00370265"/>
    <w:rsid w:val="00370388"/>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7A7"/>
    <w:rsid w:val="003737BE"/>
    <w:rsid w:val="00373A2F"/>
    <w:rsid w:val="00373A77"/>
    <w:rsid w:val="00373B49"/>
    <w:rsid w:val="00373D71"/>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755"/>
    <w:rsid w:val="00390C25"/>
    <w:rsid w:val="003910E9"/>
    <w:rsid w:val="00391403"/>
    <w:rsid w:val="0039181D"/>
    <w:rsid w:val="00391FD5"/>
    <w:rsid w:val="0039207D"/>
    <w:rsid w:val="00392626"/>
    <w:rsid w:val="0039269B"/>
    <w:rsid w:val="0039281A"/>
    <w:rsid w:val="00392A93"/>
    <w:rsid w:val="00392AD4"/>
    <w:rsid w:val="00393560"/>
    <w:rsid w:val="00393A89"/>
    <w:rsid w:val="00393ADA"/>
    <w:rsid w:val="00394112"/>
    <w:rsid w:val="003941C3"/>
    <w:rsid w:val="00394630"/>
    <w:rsid w:val="00394B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C13"/>
    <w:rsid w:val="003B0C32"/>
    <w:rsid w:val="003B0C8C"/>
    <w:rsid w:val="003B1080"/>
    <w:rsid w:val="003B1321"/>
    <w:rsid w:val="003B141D"/>
    <w:rsid w:val="003B16B1"/>
    <w:rsid w:val="003B195B"/>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E0"/>
    <w:rsid w:val="003D336B"/>
    <w:rsid w:val="003D3543"/>
    <w:rsid w:val="003D3650"/>
    <w:rsid w:val="003D368D"/>
    <w:rsid w:val="003D3882"/>
    <w:rsid w:val="003D3A82"/>
    <w:rsid w:val="003D3CAB"/>
    <w:rsid w:val="003D413A"/>
    <w:rsid w:val="003D428C"/>
    <w:rsid w:val="003D43CB"/>
    <w:rsid w:val="003D46A0"/>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B6"/>
    <w:rsid w:val="003E02DA"/>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834"/>
    <w:rsid w:val="003F5923"/>
    <w:rsid w:val="003F5CCA"/>
    <w:rsid w:val="003F5DC5"/>
    <w:rsid w:val="003F62B4"/>
    <w:rsid w:val="003F65C7"/>
    <w:rsid w:val="003F6D5F"/>
    <w:rsid w:val="003F6E05"/>
    <w:rsid w:val="003F6F8E"/>
    <w:rsid w:val="003F7213"/>
    <w:rsid w:val="003F73AE"/>
    <w:rsid w:val="003F77C9"/>
    <w:rsid w:val="003F77F7"/>
    <w:rsid w:val="003F7860"/>
    <w:rsid w:val="003F7883"/>
    <w:rsid w:val="003F7AB8"/>
    <w:rsid w:val="0040038A"/>
    <w:rsid w:val="004005F4"/>
    <w:rsid w:val="00400A89"/>
    <w:rsid w:val="00400B91"/>
    <w:rsid w:val="00400F2D"/>
    <w:rsid w:val="004014EC"/>
    <w:rsid w:val="004014F7"/>
    <w:rsid w:val="00401A20"/>
    <w:rsid w:val="00401B1F"/>
    <w:rsid w:val="00401DA9"/>
    <w:rsid w:val="00401F09"/>
    <w:rsid w:val="004021C4"/>
    <w:rsid w:val="00402BF6"/>
    <w:rsid w:val="00402D92"/>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15E6"/>
    <w:rsid w:val="004116B5"/>
    <w:rsid w:val="0041183D"/>
    <w:rsid w:val="00411C50"/>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6FB"/>
    <w:rsid w:val="00433909"/>
    <w:rsid w:val="004339AF"/>
    <w:rsid w:val="00433CDA"/>
    <w:rsid w:val="00433E31"/>
    <w:rsid w:val="00433FCC"/>
    <w:rsid w:val="004340EB"/>
    <w:rsid w:val="00434280"/>
    <w:rsid w:val="00434701"/>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5AF"/>
    <w:rsid w:val="0045173D"/>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940"/>
    <w:rsid w:val="00462AF9"/>
    <w:rsid w:val="00462C92"/>
    <w:rsid w:val="00462D0F"/>
    <w:rsid w:val="004631AC"/>
    <w:rsid w:val="0046331A"/>
    <w:rsid w:val="00464085"/>
    <w:rsid w:val="004644CA"/>
    <w:rsid w:val="004648B7"/>
    <w:rsid w:val="004657D7"/>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19"/>
    <w:rsid w:val="00476B82"/>
    <w:rsid w:val="00476ECD"/>
    <w:rsid w:val="004771E3"/>
    <w:rsid w:val="004773C1"/>
    <w:rsid w:val="00477645"/>
    <w:rsid w:val="00477735"/>
    <w:rsid w:val="00477EE0"/>
    <w:rsid w:val="0048016F"/>
    <w:rsid w:val="004802DD"/>
    <w:rsid w:val="00480371"/>
    <w:rsid w:val="00480560"/>
    <w:rsid w:val="00480A2C"/>
    <w:rsid w:val="00480A64"/>
    <w:rsid w:val="00480F52"/>
    <w:rsid w:val="0048128D"/>
    <w:rsid w:val="0048140B"/>
    <w:rsid w:val="00481AC0"/>
    <w:rsid w:val="00481B60"/>
    <w:rsid w:val="004821C6"/>
    <w:rsid w:val="00482303"/>
    <w:rsid w:val="00482957"/>
    <w:rsid w:val="00482A98"/>
    <w:rsid w:val="00482CD9"/>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5004B8"/>
    <w:rsid w:val="0050068C"/>
    <w:rsid w:val="005009BE"/>
    <w:rsid w:val="00500F70"/>
    <w:rsid w:val="00501470"/>
    <w:rsid w:val="005016A4"/>
    <w:rsid w:val="0050204D"/>
    <w:rsid w:val="0050233D"/>
    <w:rsid w:val="0050243B"/>
    <w:rsid w:val="00502663"/>
    <w:rsid w:val="00502829"/>
    <w:rsid w:val="00502CEF"/>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DA"/>
    <w:rsid w:val="005103BE"/>
    <w:rsid w:val="0051047F"/>
    <w:rsid w:val="005106F4"/>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EB1"/>
    <w:rsid w:val="0053420F"/>
    <w:rsid w:val="005342F6"/>
    <w:rsid w:val="005342FD"/>
    <w:rsid w:val="005344A6"/>
    <w:rsid w:val="005344CE"/>
    <w:rsid w:val="00534502"/>
    <w:rsid w:val="005349D3"/>
    <w:rsid w:val="00534B5E"/>
    <w:rsid w:val="00534DAA"/>
    <w:rsid w:val="00535431"/>
    <w:rsid w:val="00535B27"/>
    <w:rsid w:val="0053628B"/>
    <w:rsid w:val="0053651E"/>
    <w:rsid w:val="0053683F"/>
    <w:rsid w:val="00536A4C"/>
    <w:rsid w:val="00536D6D"/>
    <w:rsid w:val="005373E3"/>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A9F"/>
    <w:rsid w:val="00545BF0"/>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2250"/>
    <w:rsid w:val="005523C8"/>
    <w:rsid w:val="005526CB"/>
    <w:rsid w:val="005529E5"/>
    <w:rsid w:val="00552A7B"/>
    <w:rsid w:val="00553130"/>
    <w:rsid w:val="00553360"/>
    <w:rsid w:val="00553601"/>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B39"/>
    <w:rsid w:val="00574EE7"/>
    <w:rsid w:val="00575028"/>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B90"/>
    <w:rsid w:val="005D0D7D"/>
    <w:rsid w:val="005D1616"/>
    <w:rsid w:val="005D187F"/>
    <w:rsid w:val="005D1990"/>
    <w:rsid w:val="005D21E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21D2"/>
    <w:rsid w:val="00602531"/>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AF"/>
    <w:rsid w:val="0064346D"/>
    <w:rsid w:val="006436FC"/>
    <w:rsid w:val="00643A89"/>
    <w:rsid w:val="00643C76"/>
    <w:rsid w:val="00643E46"/>
    <w:rsid w:val="00644219"/>
    <w:rsid w:val="00644285"/>
    <w:rsid w:val="006443BD"/>
    <w:rsid w:val="00644A9C"/>
    <w:rsid w:val="00644EC7"/>
    <w:rsid w:val="00645458"/>
    <w:rsid w:val="00645634"/>
    <w:rsid w:val="0064563D"/>
    <w:rsid w:val="006457F2"/>
    <w:rsid w:val="0064589B"/>
    <w:rsid w:val="00646008"/>
    <w:rsid w:val="0064617E"/>
    <w:rsid w:val="00646422"/>
    <w:rsid w:val="00646AC1"/>
    <w:rsid w:val="00646B92"/>
    <w:rsid w:val="006474FD"/>
    <w:rsid w:val="00647874"/>
    <w:rsid w:val="00647898"/>
    <w:rsid w:val="00647C96"/>
    <w:rsid w:val="006500EA"/>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97D"/>
    <w:rsid w:val="006949E6"/>
    <w:rsid w:val="00694AAD"/>
    <w:rsid w:val="00694B48"/>
    <w:rsid w:val="00694DAB"/>
    <w:rsid w:val="00694DC0"/>
    <w:rsid w:val="00694DF9"/>
    <w:rsid w:val="00694E0B"/>
    <w:rsid w:val="006950C2"/>
    <w:rsid w:val="006950ED"/>
    <w:rsid w:val="006953B2"/>
    <w:rsid w:val="00695528"/>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F95"/>
    <w:rsid w:val="006A6204"/>
    <w:rsid w:val="006A624F"/>
    <w:rsid w:val="006A637F"/>
    <w:rsid w:val="006A638E"/>
    <w:rsid w:val="006A6458"/>
    <w:rsid w:val="006A68A0"/>
    <w:rsid w:val="006A69E1"/>
    <w:rsid w:val="006A72C6"/>
    <w:rsid w:val="006A75E3"/>
    <w:rsid w:val="006A785B"/>
    <w:rsid w:val="006A791C"/>
    <w:rsid w:val="006A79D6"/>
    <w:rsid w:val="006A7B3B"/>
    <w:rsid w:val="006A7C6F"/>
    <w:rsid w:val="006B0096"/>
    <w:rsid w:val="006B037B"/>
    <w:rsid w:val="006B03E3"/>
    <w:rsid w:val="006B10B7"/>
    <w:rsid w:val="006B12D7"/>
    <w:rsid w:val="006B136E"/>
    <w:rsid w:val="006B1490"/>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B82"/>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AA7"/>
    <w:rsid w:val="006E6CF5"/>
    <w:rsid w:val="006E6FF6"/>
    <w:rsid w:val="006E72A4"/>
    <w:rsid w:val="006E741B"/>
    <w:rsid w:val="006E7751"/>
    <w:rsid w:val="006E79F3"/>
    <w:rsid w:val="006E7A28"/>
    <w:rsid w:val="006E7C97"/>
    <w:rsid w:val="006E7D95"/>
    <w:rsid w:val="006E7DB1"/>
    <w:rsid w:val="006E7FD2"/>
    <w:rsid w:val="006F0269"/>
    <w:rsid w:val="006F0446"/>
    <w:rsid w:val="006F0835"/>
    <w:rsid w:val="006F0AEA"/>
    <w:rsid w:val="006F1322"/>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FCA"/>
    <w:rsid w:val="006F74E6"/>
    <w:rsid w:val="006F7583"/>
    <w:rsid w:val="006F7876"/>
    <w:rsid w:val="006F7B47"/>
    <w:rsid w:val="006F7B78"/>
    <w:rsid w:val="006F7E3B"/>
    <w:rsid w:val="0070001C"/>
    <w:rsid w:val="007000C0"/>
    <w:rsid w:val="00700D21"/>
    <w:rsid w:val="00700E6B"/>
    <w:rsid w:val="00700E75"/>
    <w:rsid w:val="0070176A"/>
    <w:rsid w:val="007018A1"/>
    <w:rsid w:val="00701A12"/>
    <w:rsid w:val="00701B81"/>
    <w:rsid w:val="00701C37"/>
    <w:rsid w:val="00701DA4"/>
    <w:rsid w:val="0070208F"/>
    <w:rsid w:val="00702434"/>
    <w:rsid w:val="00702BD1"/>
    <w:rsid w:val="00702FC9"/>
    <w:rsid w:val="007034FA"/>
    <w:rsid w:val="00703629"/>
    <w:rsid w:val="00703659"/>
    <w:rsid w:val="00703843"/>
    <w:rsid w:val="00703891"/>
    <w:rsid w:val="007038DB"/>
    <w:rsid w:val="00703A2A"/>
    <w:rsid w:val="00703BFB"/>
    <w:rsid w:val="00703C59"/>
    <w:rsid w:val="00703D81"/>
    <w:rsid w:val="00703EBA"/>
    <w:rsid w:val="00703FC7"/>
    <w:rsid w:val="0070478D"/>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11DC"/>
    <w:rsid w:val="007118BB"/>
    <w:rsid w:val="00711A8B"/>
    <w:rsid w:val="0071210B"/>
    <w:rsid w:val="0071214E"/>
    <w:rsid w:val="00712173"/>
    <w:rsid w:val="007125D0"/>
    <w:rsid w:val="007127B4"/>
    <w:rsid w:val="007127D1"/>
    <w:rsid w:val="00712938"/>
    <w:rsid w:val="00712C5A"/>
    <w:rsid w:val="00713132"/>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70"/>
    <w:rsid w:val="00720282"/>
    <w:rsid w:val="00720575"/>
    <w:rsid w:val="00720731"/>
    <w:rsid w:val="007208A1"/>
    <w:rsid w:val="007208AB"/>
    <w:rsid w:val="007210D3"/>
    <w:rsid w:val="007216D1"/>
    <w:rsid w:val="0072182E"/>
    <w:rsid w:val="007221ED"/>
    <w:rsid w:val="007225C3"/>
    <w:rsid w:val="00722700"/>
    <w:rsid w:val="0072293A"/>
    <w:rsid w:val="00722E44"/>
    <w:rsid w:val="00722FB2"/>
    <w:rsid w:val="007233F5"/>
    <w:rsid w:val="0072362F"/>
    <w:rsid w:val="0072394C"/>
    <w:rsid w:val="00723A92"/>
    <w:rsid w:val="00723CFD"/>
    <w:rsid w:val="00723E22"/>
    <w:rsid w:val="00723FFF"/>
    <w:rsid w:val="00724362"/>
    <w:rsid w:val="0072472C"/>
    <w:rsid w:val="007248DC"/>
    <w:rsid w:val="00724C08"/>
    <w:rsid w:val="00724DF9"/>
    <w:rsid w:val="00724EE3"/>
    <w:rsid w:val="00724F0D"/>
    <w:rsid w:val="00724F35"/>
    <w:rsid w:val="0072538A"/>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666"/>
    <w:rsid w:val="007637B2"/>
    <w:rsid w:val="007637B7"/>
    <w:rsid w:val="0076446C"/>
    <w:rsid w:val="0076460B"/>
    <w:rsid w:val="00764939"/>
    <w:rsid w:val="00764A54"/>
    <w:rsid w:val="00764BB2"/>
    <w:rsid w:val="00764C78"/>
    <w:rsid w:val="00764D34"/>
    <w:rsid w:val="00764E83"/>
    <w:rsid w:val="00765976"/>
    <w:rsid w:val="00765A88"/>
    <w:rsid w:val="00766225"/>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682"/>
    <w:rsid w:val="007B6846"/>
    <w:rsid w:val="007B68FD"/>
    <w:rsid w:val="007B6946"/>
    <w:rsid w:val="007B6BA6"/>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04"/>
    <w:rsid w:val="007C2AE7"/>
    <w:rsid w:val="007C2F3C"/>
    <w:rsid w:val="007C377C"/>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AFA"/>
    <w:rsid w:val="007D3EF8"/>
    <w:rsid w:val="007D3F5B"/>
    <w:rsid w:val="007D439E"/>
    <w:rsid w:val="007D46AA"/>
    <w:rsid w:val="007D4BEF"/>
    <w:rsid w:val="007D4F07"/>
    <w:rsid w:val="007D55FF"/>
    <w:rsid w:val="007D58E5"/>
    <w:rsid w:val="007D5B88"/>
    <w:rsid w:val="007D5E13"/>
    <w:rsid w:val="007D606B"/>
    <w:rsid w:val="007D632A"/>
    <w:rsid w:val="007D6409"/>
    <w:rsid w:val="007D644F"/>
    <w:rsid w:val="007D6599"/>
    <w:rsid w:val="007D6695"/>
    <w:rsid w:val="007D675C"/>
    <w:rsid w:val="007D69B4"/>
    <w:rsid w:val="007D6B45"/>
    <w:rsid w:val="007D6C31"/>
    <w:rsid w:val="007D7239"/>
    <w:rsid w:val="007D73F1"/>
    <w:rsid w:val="007D76EC"/>
    <w:rsid w:val="007D7B7C"/>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B22"/>
    <w:rsid w:val="00823C64"/>
    <w:rsid w:val="00823D5A"/>
    <w:rsid w:val="008240C5"/>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7A9"/>
    <w:rsid w:val="0084186A"/>
    <w:rsid w:val="00841DD6"/>
    <w:rsid w:val="00841FA0"/>
    <w:rsid w:val="00842340"/>
    <w:rsid w:val="00842B8E"/>
    <w:rsid w:val="00843043"/>
    <w:rsid w:val="008430F5"/>
    <w:rsid w:val="0084397B"/>
    <w:rsid w:val="00843A34"/>
    <w:rsid w:val="00843BAD"/>
    <w:rsid w:val="00843F12"/>
    <w:rsid w:val="008444B7"/>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F21"/>
    <w:rsid w:val="00886F50"/>
    <w:rsid w:val="0088718B"/>
    <w:rsid w:val="00887238"/>
    <w:rsid w:val="008876A9"/>
    <w:rsid w:val="00887D4A"/>
    <w:rsid w:val="00887E3F"/>
    <w:rsid w:val="00887E73"/>
    <w:rsid w:val="00887EA4"/>
    <w:rsid w:val="008908DA"/>
    <w:rsid w:val="00890BC7"/>
    <w:rsid w:val="00890E84"/>
    <w:rsid w:val="008912C0"/>
    <w:rsid w:val="008917BD"/>
    <w:rsid w:val="00891A49"/>
    <w:rsid w:val="00892214"/>
    <w:rsid w:val="00892786"/>
    <w:rsid w:val="00892792"/>
    <w:rsid w:val="008927C1"/>
    <w:rsid w:val="0089289F"/>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7EEA"/>
    <w:rsid w:val="008E04A9"/>
    <w:rsid w:val="008E07C0"/>
    <w:rsid w:val="008E0B6C"/>
    <w:rsid w:val="008E0BFA"/>
    <w:rsid w:val="008E0C87"/>
    <w:rsid w:val="008E0CC2"/>
    <w:rsid w:val="008E0FC5"/>
    <w:rsid w:val="008E2980"/>
    <w:rsid w:val="008E2A77"/>
    <w:rsid w:val="008E2E7F"/>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713"/>
    <w:rsid w:val="008E7902"/>
    <w:rsid w:val="008E7A63"/>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A21"/>
    <w:rsid w:val="00931BD0"/>
    <w:rsid w:val="00931E4A"/>
    <w:rsid w:val="00931FA9"/>
    <w:rsid w:val="009321DB"/>
    <w:rsid w:val="00932601"/>
    <w:rsid w:val="009329E9"/>
    <w:rsid w:val="00932AC2"/>
    <w:rsid w:val="00932DDE"/>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6F"/>
    <w:rsid w:val="009660A3"/>
    <w:rsid w:val="00966112"/>
    <w:rsid w:val="009664C8"/>
    <w:rsid w:val="00966D2D"/>
    <w:rsid w:val="00966F43"/>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763"/>
    <w:rsid w:val="00971858"/>
    <w:rsid w:val="00971897"/>
    <w:rsid w:val="00971A84"/>
    <w:rsid w:val="00971AFE"/>
    <w:rsid w:val="00972143"/>
    <w:rsid w:val="009729D1"/>
    <w:rsid w:val="00972C07"/>
    <w:rsid w:val="009732EA"/>
    <w:rsid w:val="00973308"/>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667"/>
    <w:rsid w:val="0098472F"/>
    <w:rsid w:val="009849F2"/>
    <w:rsid w:val="00984F0E"/>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605C"/>
    <w:rsid w:val="009A608A"/>
    <w:rsid w:val="009A633E"/>
    <w:rsid w:val="009A63B4"/>
    <w:rsid w:val="009A6462"/>
    <w:rsid w:val="009A652C"/>
    <w:rsid w:val="009A6686"/>
    <w:rsid w:val="009A6796"/>
    <w:rsid w:val="009A6B7E"/>
    <w:rsid w:val="009A6DEE"/>
    <w:rsid w:val="009A6EC1"/>
    <w:rsid w:val="009A733E"/>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595"/>
    <w:rsid w:val="009F3C5B"/>
    <w:rsid w:val="009F3EC9"/>
    <w:rsid w:val="009F3F08"/>
    <w:rsid w:val="009F3FFD"/>
    <w:rsid w:val="009F48C7"/>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39E"/>
    <w:rsid w:val="00A044C5"/>
    <w:rsid w:val="00A045FA"/>
    <w:rsid w:val="00A04E55"/>
    <w:rsid w:val="00A04EDE"/>
    <w:rsid w:val="00A050E1"/>
    <w:rsid w:val="00A05983"/>
    <w:rsid w:val="00A059DB"/>
    <w:rsid w:val="00A05BD0"/>
    <w:rsid w:val="00A05E19"/>
    <w:rsid w:val="00A05EC1"/>
    <w:rsid w:val="00A05F51"/>
    <w:rsid w:val="00A060E0"/>
    <w:rsid w:val="00A06442"/>
    <w:rsid w:val="00A06562"/>
    <w:rsid w:val="00A06651"/>
    <w:rsid w:val="00A06841"/>
    <w:rsid w:val="00A06880"/>
    <w:rsid w:val="00A06B6D"/>
    <w:rsid w:val="00A0723E"/>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34D"/>
    <w:rsid w:val="00A24C24"/>
    <w:rsid w:val="00A24E18"/>
    <w:rsid w:val="00A252C9"/>
    <w:rsid w:val="00A2534A"/>
    <w:rsid w:val="00A2568D"/>
    <w:rsid w:val="00A25A6F"/>
    <w:rsid w:val="00A25E5E"/>
    <w:rsid w:val="00A25F24"/>
    <w:rsid w:val="00A2614E"/>
    <w:rsid w:val="00A26235"/>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D21"/>
    <w:rsid w:val="00A52DB5"/>
    <w:rsid w:val="00A5307C"/>
    <w:rsid w:val="00A531AF"/>
    <w:rsid w:val="00A53295"/>
    <w:rsid w:val="00A5342B"/>
    <w:rsid w:val="00A53BAA"/>
    <w:rsid w:val="00A53D81"/>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36F"/>
    <w:rsid w:val="00A767D7"/>
    <w:rsid w:val="00A7680C"/>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50C"/>
    <w:rsid w:val="00A81756"/>
    <w:rsid w:val="00A8191F"/>
    <w:rsid w:val="00A8201C"/>
    <w:rsid w:val="00A822A7"/>
    <w:rsid w:val="00A822CC"/>
    <w:rsid w:val="00A82488"/>
    <w:rsid w:val="00A828E0"/>
    <w:rsid w:val="00A82CC5"/>
    <w:rsid w:val="00A82F3A"/>
    <w:rsid w:val="00A8302C"/>
    <w:rsid w:val="00A8326C"/>
    <w:rsid w:val="00A83319"/>
    <w:rsid w:val="00A833D8"/>
    <w:rsid w:val="00A83626"/>
    <w:rsid w:val="00A83B8C"/>
    <w:rsid w:val="00A83ED2"/>
    <w:rsid w:val="00A840BA"/>
    <w:rsid w:val="00A842C8"/>
    <w:rsid w:val="00A845A0"/>
    <w:rsid w:val="00A850FD"/>
    <w:rsid w:val="00A851A5"/>
    <w:rsid w:val="00A856FA"/>
    <w:rsid w:val="00A859A7"/>
    <w:rsid w:val="00A85F53"/>
    <w:rsid w:val="00A865A4"/>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1176"/>
    <w:rsid w:val="00AC13B9"/>
    <w:rsid w:val="00AC15F3"/>
    <w:rsid w:val="00AC172A"/>
    <w:rsid w:val="00AC1741"/>
    <w:rsid w:val="00AC1D3B"/>
    <w:rsid w:val="00AC1FF3"/>
    <w:rsid w:val="00AC2010"/>
    <w:rsid w:val="00AC2140"/>
    <w:rsid w:val="00AC28A9"/>
    <w:rsid w:val="00AC2DCD"/>
    <w:rsid w:val="00AC39AF"/>
    <w:rsid w:val="00AC3A5D"/>
    <w:rsid w:val="00AC3CBA"/>
    <w:rsid w:val="00AC4153"/>
    <w:rsid w:val="00AC4491"/>
    <w:rsid w:val="00AC4A11"/>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BA9"/>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FB8"/>
    <w:rsid w:val="00B706F3"/>
    <w:rsid w:val="00B7072C"/>
    <w:rsid w:val="00B70A7D"/>
    <w:rsid w:val="00B70CB8"/>
    <w:rsid w:val="00B7166A"/>
    <w:rsid w:val="00B71689"/>
    <w:rsid w:val="00B71CEF"/>
    <w:rsid w:val="00B71F77"/>
    <w:rsid w:val="00B71FC7"/>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2DF"/>
    <w:rsid w:val="00B8162A"/>
    <w:rsid w:val="00B81B7A"/>
    <w:rsid w:val="00B81BC9"/>
    <w:rsid w:val="00B81BF5"/>
    <w:rsid w:val="00B81EFF"/>
    <w:rsid w:val="00B820DE"/>
    <w:rsid w:val="00B8260D"/>
    <w:rsid w:val="00B826D9"/>
    <w:rsid w:val="00B8284B"/>
    <w:rsid w:val="00B82910"/>
    <w:rsid w:val="00B82AA9"/>
    <w:rsid w:val="00B8351F"/>
    <w:rsid w:val="00B83AEF"/>
    <w:rsid w:val="00B83B55"/>
    <w:rsid w:val="00B83EAD"/>
    <w:rsid w:val="00B84451"/>
    <w:rsid w:val="00B844D5"/>
    <w:rsid w:val="00B84758"/>
    <w:rsid w:val="00B8484F"/>
    <w:rsid w:val="00B8498F"/>
    <w:rsid w:val="00B84B3E"/>
    <w:rsid w:val="00B850D9"/>
    <w:rsid w:val="00B854EA"/>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ED7"/>
    <w:rsid w:val="00BB5F08"/>
    <w:rsid w:val="00BB6801"/>
    <w:rsid w:val="00BB6D71"/>
    <w:rsid w:val="00BB71C5"/>
    <w:rsid w:val="00BB71D7"/>
    <w:rsid w:val="00BB7280"/>
    <w:rsid w:val="00BB7312"/>
    <w:rsid w:val="00BB76D8"/>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9D4"/>
    <w:rsid w:val="00BC79E1"/>
    <w:rsid w:val="00BC7D48"/>
    <w:rsid w:val="00BD006E"/>
    <w:rsid w:val="00BD0485"/>
    <w:rsid w:val="00BD04AC"/>
    <w:rsid w:val="00BD0526"/>
    <w:rsid w:val="00BD075A"/>
    <w:rsid w:val="00BD09BA"/>
    <w:rsid w:val="00BD0A21"/>
    <w:rsid w:val="00BD0E7B"/>
    <w:rsid w:val="00BD0EDB"/>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9F7"/>
    <w:rsid w:val="00BF0B29"/>
    <w:rsid w:val="00BF0EE4"/>
    <w:rsid w:val="00BF0F93"/>
    <w:rsid w:val="00BF129B"/>
    <w:rsid w:val="00BF15B8"/>
    <w:rsid w:val="00BF1A81"/>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7C4"/>
    <w:rsid w:val="00C247FD"/>
    <w:rsid w:val="00C24A07"/>
    <w:rsid w:val="00C24B64"/>
    <w:rsid w:val="00C24EF5"/>
    <w:rsid w:val="00C2501E"/>
    <w:rsid w:val="00C2561D"/>
    <w:rsid w:val="00C258B1"/>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7"/>
    <w:rsid w:val="00C37A80"/>
    <w:rsid w:val="00C37F2D"/>
    <w:rsid w:val="00C4008E"/>
    <w:rsid w:val="00C409B4"/>
    <w:rsid w:val="00C4165D"/>
    <w:rsid w:val="00C41BA5"/>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78E"/>
    <w:rsid w:val="00C43ECD"/>
    <w:rsid w:val="00C43FA1"/>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AC6"/>
    <w:rsid w:val="00C76220"/>
    <w:rsid w:val="00C76284"/>
    <w:rsid w:val="00C767B1"/>
    <w:rsid w:val="00C76A03"/>
    <w:rsid w:val="00C77593"/>
    <w:rsid w:val="00C77731"/>
    <w:rsid w:val="00C777FE"/>
    <w:rsid w:val="00C800A7"/>
    <w:rsid w:val="00C8061A"/>
    <w:rsid w:val="00C80683"/>
    <w:rsid w:val="00C80A77"/>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97D62"/>
    <w:rsid w:val="00CA03C3"/>
    <w:rsid w:val="00CA03F6"/>
    <w:rsid w:val="00CA061A"/>
    <w:rsid w:val="00CA0820"/>
    <w:rsid w:val="00CA0A11"/>
    <w:rsid w:val="00CA0AFF"/>
    <w:rsid w:val="00CA0B6E"/>
    <w:rsid w:val="00CA0BE5"/>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99"/>
    <w:rsid w:val="00CC132A"/>
    <w:rsid w:val="00CC1396"/>
    <w:rsid w:val="00CC151B"/>
    <w:rsid w:val="00CC155A"/>
    <w:rsid w:val="00CC188A"/>
    <w:rsid w:val="00CC1962"/>
    <w:rsid w:val="00CC1C6D"/>
    <w:rsid w:val="00CC2462"/>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E9E"/>
    <w:rsid w:val="00CE0FC6"/>
    <w:rsid w:val="00CE1267"/>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824"/>
    <w:rsid w:val="00CF0A8F"/>
    <w:rsid w:val="00CF0AD4"/>
    <w:rsid w:val="00CF1506"/>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F3E"/>
    <w:rsid w:val="00CF76D4"/>
    <w:rsid w:val="00CF7786"/>
    <w:rsid w:val="00CF7AAC"/>
    <w:rsid w:val="00CF7B1A"/>
    <w:rsid w:val="00CF7D9E"/>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214F"/>
    <w:rsid w:val="00D4259E"/>
    <w:rsid w:val="00D425A9"/>
    <w:rsid w:val="00D4265A"/>
    <w:rsid w:val="00D426D7"/>
    <w:rsid w:val="00D4272C"/>
    <w:rsid w:val="00D4274E"/>
    <w:rsid w:val="00D42F28"/>
    <w:rsid w:val="00D4321B"/>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126C"/>
    <w:rsid w:val="00D5170E"/>
    <w:rsid w:val="00D51930"/>
    <w:rsid w:val="00D51A6E"/>
    <w:rsid w:val="00D51E70"/>
    <w:rsid w:val="00D52680"/>
    <w:rsid w:val="00D536DC"/>
    <w:rsid w:val="00D536F1"/>
    <w:rsid w:val="00D54108"/>
    <w:rsid w:val="00D5436C"/>
    <w:rsid w:val="00D543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5D9"/>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A6A"/>
    <w:rsid w:val="00DA2AB6"/>
    <w:rsid w:val="00DA2E73"/>
    <w:rsid w:val="00DA3059"/>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C5D"/>
    <w:rsid w:val="00DD7D61"/>
    <w:rsid w:val="00DD7E26"/>
    <w:rsid w:val="00DE00D1"/>
    <w:rsid w:val="00DE0127"/>
    <w:rsid w:val="00DE0B62"/>
    <w:rsid w:val="00DE0F5E"/>
    <w:rsid w:val="00DE1311"/>
    <w:rsid w:val="00DE1384"/>
    <w:rsid w:val="00DE14AF"/>
    <w:rsid w:val="00DE159C"/>
    <w:rsid w:val="00DE1624"/>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C5"/>
    <w:rsid w:val="00E32285"/>
    <w:rsid w:val="00E326F4"/>
    <w:rsid w:val="00E32745"/>
    <w:rsid w:val="00E3297C"/>
    <w:rsid w:val="00E32EAA"/>
    <w:rsid w:val="00E32F9C"/>
    <w:rsid w:val="00E3300E"/>
    <w:rsid w:val="00E33178"/>
    <w:rsid w:val="00E3320D"/>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4013C"/>
    <w:rsid w:val="00E401F7"/>
    <w:rsid w:val="00E40AF6"/>
    <w:rsid w:val="00E40E63"/>
    <w:rsid w:val="00E40F3B"/>
    <w:rsid w:val="00E4119D"/>
    <w:rsid w:val="00E411ED"/>
    <w:rsid w:val="00E4127C"/>
    <w:rsid w:val="00E4133D"/>
    <w:rsid w:val="00E41521"/>
    <w:rsid w:val="00E4164B"/>
    <w:rsid w:val="00E416F5"/>
    <w:rsid w:val="00E41ADF"/>
    <w:rsid w:val="00E41FA7"/>
    <w:rsid w:val="00E42C92"/>
    <w:rsid w:val="00E42ED6"/>
    <w:rsid w:val="00E433A4"/>
    <w:rsid w:val="00E43A7D"/>
    <w:rsid w:val="00E43B7E"/>
    <w:rsid w:val="00E44181"/>
    <w:rsid w:val="00E443C3"/>
    <w:rsid w:val="00E443E0"/>
    <w:rsid w:val="00E4448C"/>
    <w:rsid w:val="00E445EA"/>
    <w:rsid w:val="00E4471B"/>
    <w:rsid w:val="00E44902"/>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601F5"/>
    <w:rsid w:val="00E60264"/>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090"/>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C10"/>
    <w:rsid w:val="00EB6D76"/>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C91"/>
    <w:rsid w:val="00EE6047"/>
    <w:rsid w:val="00EE6159"/>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2C56"/>
    <w:rsid w:val="00F1318F"/>
    <w:rsid w:val="00F13842"/>
    <w:rsid w:val="00F13AA6"/>
    <w:rsid w:val="00F13C48"/>
    <w:rsid w:val="00F142A4"/>
    <w:rsid w:val="00F142F8"/>
    <w:rsid w:val="00F1486E"/>
    <w:rsid w:val="00F14D59"/>
    <w:rsid w:val="00F14FB1"/>
    <w:rsid w:val="00F14FF3"/>
    <w:rsid w:val="00F15515"/>
    <w:rsid w:val="00F1567A"/>
    <w:rsid w:val="00F15DD8"/>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C0E"/>
    <w:rsid w:val="00F45DB4"/>
    <w:rsid w:val="00F460FD"/>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A68"/>
    <w:rsid w:val="00FC0B17"/>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FC"/>
    <w:rsid w:val="00FC59B4"/>
    <w:rsid w:val="00FC5FEF"/>
    <w:rsid w:val="00FC6050"/>
    <w:rsid w:val="00FC612F"/>
    <w:rsid w:val="00FC619A"/>
    <w:rsid w:val="00FC64D5"/>
    <w:rsid w:val="00FC67ED"/>
    <w:rsid w:val="00FC68E1"/>
    <w:rsid w:val="00FC6B25"/>
    <w:rsid w:val="00FC6CB7"/>
    <w:rsid w:val="00FC76EB"/>
    <w:rsid w:val="00FC77CB"/>
    <w:rsid w:val="00FC7810"/>
    <w:rsid w:val="00FC7982"/>
    <w:rsid w:val="00FC7AA0"/>
    <w:rsid w:val="00FC7FC6"/>
    <w:rsid w:val="00FD00C2"/>
    <w:rsid w:val="00FD04B3"/>
    <w:rsid w:val="00FD0A7F"/>
    <w:rsid w:val="00FD0AA7"/>
    <w:rsid w:val="00FD0CEA"/>
    <w:rsid w:val="00FD0D22"/>
    <w:rsid w:val="00FD0D9B"/>
    <w:rsid w:val="00FD0FAB"/>
    <w:rsid w:val="00FD1074"/>
    <w:rsid w:val="00FD119B"/>
    <w:rsid w:val="00FD12FA"/>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77"/>
    <w:rsid w:val="00FD6104"/>
    <w:rsid w:val="00FD625A"/>
    <w:rsid w:val="00FD6540"/>
    <w:rsid w:val="00FD6C64"/>
    <w:rsid w:val="00FD75BE"/>
    <w:rsid w:val="00FD7683"/>
    <w:rsid w:val="00FD76F5"/>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6ED"/>
    <w:rsid w:val="00FE2B1B"/>
    <w:rsid w:val="00FE2BCC"/>
    <w:rsid w:val="00FE3089"/>
    <w:rsid w:val="00FE3112"/>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7F"/>
    <w:rsid w:val="00FF137E"/>
    <w:rsid w:val="00FF13A8"/>
    <w:rsid w:val="00FF14DA"/>
    <w:rsid w:val="00FF15B4"/>
    <w:rsid w:val="00FF182C"/>
    <w:rsid w:val="00FF1CA6"/>
    <w:rsid w:val="00FF24FC"/>
    <w:rsid w:val="00FF26E1"/>
    <w:rsid w:val="00FF2804"/>
    <w:rsid w:val="00FF2A4E"/>
    <w:rsid w:val="00FF2BFF"/>
    <w:rsid w:val="00FF2E98"/>
    <w:rsid w:val="00FF2F90"/>
    <w:rsid w:val="00FF3046"/>
    <w:rsid w:val="00FF320A"/>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8F1416"/>
    <w:rsid w:val="019E1D4A"/>
    <w:rsid w:val="01AB094A"/>
    <w:rsid w:val="01AE21DC"/>
    <w:rsid w:val="01B306E4"/>
    <w:rsid w:val="01D27A5F"/>
    <w:rsid w:val="01DF44FB"/>
    <w:rsid w:val="01F37365"/>
    <w:rsid w:val="02004B2C"/>
    <w:rsid w:val="0201766A"/>
    <w:rsid w:val="02035721"/>
    <w:rsid w:val="02151F95"/>
    <w:rsid w:val="02211A0E"/>
    <w:rsid w:val="022A4AA1"/>
    <w:rsid w:val="022E47B0"/>
    <w:rsid w:val="023D4739"/>
    <w:rsid w:val="02554599"/>
    <w:rsid w:val="02554999"/>
    <w:rsid w:val="02565169"/>
    <w:rsid w:val="02574326"/>
    <w:rsid w:val="025B75F9"/>
    <w:rsid w:val="026A3596"/>
    <w:rsid w:val="026C0DE0"/>
    <w:rsid w:val="02720839"/>
    <w:rsid w:val="02762CB4"/>
    <w:rsid w:val="02767EF6"/>
    <w:rsid w:val="02827220"/>
    <w:rsid w:val="029B47FF"/>
    <w:rsid w:val="02A461E0"/>
    <w:rsid w:val="02B34E07"/>
    <w:rsid w:val="02C40A2A"/>
    <w:rsid w:val="02C93D1E"/>
    <w:rsid w:val="02D472A2"/>
    <w:rsid w:val="02DC5D29"/>
    <w:rsid w:val="02E818F1"/>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82356"/>
    <w:rsid w:val="064244D9"/>
    <w:rsid w:val="06511ACC"/>
    <w:rsid w:val="06564BA4"/>
    <w:rsid w:val="065A7399"/>
    <w:rsid w:val="066A602E"/>
    <w:rsid w:val="067751BD"/>
    <w:rsid w:val="06A11B02"/>
    <w:rsid w:val="06BA6ABF"/>
    <w:rsid w:val="06C62058"/>
    <w:rsid w:val="06CF7159"/>
    <w:rsid w:val="06D32D7E"/>
    <w:rsid w:val="06E21138"/>
    <w:rsid w:val="06E64C63"/>
    <w:rsid w:val="06F24EF2"/>
    <w:rsid w:val="06FD40DB"/>
    <w:rsid w:val="07082E19"/>
    <w:rsid w:val="071C09FC"/>
    <w:rsid w:val="07437B7C"/>
    <w:rsid w:val="07470651"/>
    <w:rsid w:val="074F79E7"/>
    <w:rsid w:val="07565B77"/>
    <w:rsid w:val="075815C4"/>
    <w:rsid w:val="075960B3"/>
    <w:rsid w:val="078A01E7"/>
    <w:rsid w:val="078A415E"/>
    <w:rsid w:val="07934010"/>
    <w:rsid w:val="079D12CF"/>
    <w:rsid w:val="07A46BE4"/>
    <w:rsid w:val="07AE7932"/>
    <w:rsid w:val="07B814E5"/>
    <w:rsid w:val="07C25F74"/>
    <w:rsid w:val="07D013A8"/>
    <w:rsid w:val="07D648D8"/>
    <w:rsid w:val="07E22A7A"/>
    <w:rsid w:val="07F8491F"/>
    <w:rsid w:val="07FB29C2"/>
    <w:rsid w:val="07FD44E9"/>
    <w:rsid w:val="08042FBA"/>
    <w:rsid w:val="0805407D"/>
    <w:rsid w:val="080E66E4"/>
    <w:rsid w:val="08127126"/>
    <w:rsid w:val="08132E8B"/>
    <w:rsid w:val="081467CE"/>
    <w:rsid w:val="081D0E45"/>
    <w:rsid w:val="081D706E"/>
    <w:rsid w:val="08253679"/>
    <w:rsid w:val="0829358F"/>
    <w:rsid w:val="083D54A0"/>
    <w:rsid w:val="083D716A"/>
    <w:rsid w:val="084B79E5"/>
    <w:rsid w:val="08561EE5"/>
    <w:rsid w:val="085A74A5"/>
    <w:rsid w:val="085D519A"/>
    <w:rsid w:val="086378F2"/>
    <w:rsid w:val="086D1BC3"/>
    <w:rsid w:val="08706B4B"/>
    <w:rsid w:val="087F51C7"/>
    <w:rsid w:val="088A1CFB"/>
    <w:rsid w:val="088B79C8"/>
    <w:rsid w:val="08917913"/>
    <w:rsid w:val="08A43A02"/>
    <w:rsid w:val="08A94AC0"/>
    <w:rsid w:val="08C90540"/>
    <w:rsid w:val="08CC1330"/>
    <w:rsid w:val="08CE61CB"/>
    <w:rsid w:val="08D2064E"/>
    <w:rsid w:val="08F44BC5"/>
    <w:rsid w:val="08FA203B"/>
    <w:rsid w:val="090515DA"/>
    <w:rsid w:val="0918370E"/>
    <w:rsid w:val="093512F4"/>
    <w:rsid w:val="093A1D12"/>
    <w:rsid w:val="094706FF"/>
    <w:rsid w:val="094B14E7"/>
    <w:rsid w:val="095017F1"/>
    <w:rsid w:val="09513804"/>
    <w:rsid w:val="095256C8"/>
    <w:rsid w:val="09664D4F"/>
    <w:rsid w:val="09984675"/>
    <w:rsid w:val="09AB29D4"/>
    <w:rsid w:val="09BC33E9"/>
    <w:rsid w:val="09C63A15"/>
    <w:rsid w:val="09DE356F"/>
    <w:rsid w:val="0A0518AB"/>
    <w:rsid w:val="0A0D50DF"/>
    <w:rsid w:val="0A17229C"/>
    <w:rsid w:val="0A245887"/>
    <w:rsid w:val="0A32370E"/>
    <w:rsid w:val="0A3247B9"/>
    <w:rsid w:val="0A3376ED"/>
    <w:rsid w:val="0A351957"/>
    <w:rsid w:val="0A531778"/>
    <w:rsid w:val="0A585A2D"/>
    <w:rsid w:val="0A594E3E"/>
    <w:rsid w:val="0A5C144D"/>
    <w:rsid w:val="0A5C768D"/>
    <w:rsid w:val="0A6B68D5"/>
    <w:rsid w:val="0A6F50FD"/>
    <w:rsid w:val="0A722E39"/>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C005070"/>
    <w:rsid w:val="0C195365"/>
    <w:rsid w:val="0C1A6BD3"/>
    <w:rsid w:val="0C1D70C9"/>
    <w:rsid w:val="0C266D9C"/>
    <w:rsid w:val="0C6F4E58"/>
    <w:rsid w:val="0C76751C"/>
    <w:rsid w:val="0C9E5B83"/>
    <w:rsid w:val="0CBD7CE0"/>
    <w:rsid w:val="0CFB1DB9"/>
    <w:rsid w:val="0D103D70"/>
    <w:rsid w:val="0D1C1B50"/>
    <w:rsid w:val="0D220294"/>
    <w:rsid w:val="0D283356"/>
    <w:rsid w:val="0D3A4A42"/>
    <w:rsid w:val="0D413ECD"/>
    <w:rsid w:val="0D5773D6"/>
    <w:rsid w:val="0D594DB6"/>
    <w:rsid w:val="0D632B1E"/>
    <w:rsid w:val="0D6E771D"/>
    <w:rsid w:val="0D7D7848"/>
    <w:rsid w:val="0D80206A"/>
    <w:rsid w:val="0D8E173E"/>
    <w:rsid w:val="0DA10A04"/>
    <w:rsid w:val="0DAB37C5"/>
    <w:rsid w:val="0DD74FA9"/>
    <w:rsid w:val="0DE65F6D"/>
    <w:rsid w:val="0DF13B47"/>
    <w:rsid w:val="0E0A5187"/>
    <w:rsid w:val="0E332166"/>
    <w:rsid w:val="0E3917FF"/>
    <w:rsid w:val="0E4B4C91"/>
    <w:rsid w:val="0E4D5766"/>
    <w:rsid w:val="0E613656"/>
    <w:rsid w:val="0E633F79"/>
    <w:rsid w:val="0E6E3480"/>
    <w:rsid w:val="0E72787E"/>
    <w:rsid w:val="0E86024B"/>
    <w:rsid w:val="0E8645C8"/>
    <w:rsid w:val="0E8A433B"/>
    <w:rsid w:val="0E9F5739"/>
    <w:rsid w:val="0E9F7159"/>
    <w:rsid w:val="0EB37BB2"/>
    <w:rsid w:val="0EC3008E"/>
    <w:rsid w:val="0EC5059A"/>
    <w:rsid w:val="0ED9547E"/>
    <w:rsid w:val="0EDB339F"/>
    <w:rsid w:val="0EF10F2E"/>
    <w:rsid w:val="0EF53E39"/>
    <w:rsid w:val="0F1155E2"/>
    <w:rsid w:val="0F125211"/>
    <w:rsid w:val="0F152A9D"/>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16B6A"/>
    <w:rsid w:val="0F82210C"/>
    <w:rsid w:val="0F950757"/>
    <w:rsid w:val="0FA023BF"/>
    <w:rsid w:val="0FA36B70"/>
    <w:rsid w:val="0FA36D3D"/>
    <w:rsid w:val="0FA37671"/>
    <w:rsid w:val="0FAA4F5D"/>
    <w:rsid w:val="0FAC2C6D"/>
    <w:rsid w:val="0FB70395"/>
    <w:rsid w:val="0FBA4112"/>
    <w:rsid w:val="0FBB10D0"/>
    <w:rsid w:val="0FC96156"/>
    <w:rsid w:val="0FDA6A10"/>
    <w:rsid w:val="0FE473BA"/>
    <w:rsid w:val="0FEC2D9A"/>
    <w:rsid w:val="0FED4E61"/>
    <w:rsid w:val="0FF96EA0"/>
    <w:rsid w:val="10014099"/>
    <w:rsid w:val="10040C3F"/>
    <w:rsid w:val="100A0456"/>
    <w:rsid w:val="100B59FA"/>
    <w:rsid w:val="10110CDB"/>
    <w:rsid w:val="101651EC"/>
    <w:rsid w:val="101C28C6"/>
    <w:rsid w:val="10206D1E"/>
    <w:rsid w:val="10211C2E"/>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B24DF"/>
    <w:rsid w:val="10B04858"/>
    <w:rsid w:val="10BC2AE5"/>
    <w:rsid w:val="10D42E50"/>
    <w:rsid w:val="10D653BA"/>
    <w:rsid w:val="10DB6356"/>
    <w:rsid w:val="10EF5ED1"/>
    <w:rsid w:val="10F2465E"/>
    <w:rsid w:val="10F42936"/>
    <w:rsid w:val="10FA231C"/>
    <w:rsid w:val="110A731F"/>
    <w:rsid w:val="112A5200"/>
    <w:rsid w:val="112B7604"/>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E33CA"/>
    <w:rsid w:val="12F83AAE"/>
    <w:rsid w:val="12FC274E"/>
    <w:rsid w:val="12FF52DE"/>
    <w:rsid w:val="13030235"/>
    <w:rsid w:val="13057AAF"/>
    <w:rsid w:val="13063F94"/>
    <w:rsid w:val="131A1EB8"/>
    <w:rsid w:val="131D547C"/>
    <w:rsid w:val="13344C16"/>
    <w:rsid w:val="13400A22"/>
    <w:rsid w:val="1343505A"/>
    <w:rsid w:val="134546AC"/>
    <w:rsid w:val="13544A6B"/>
    <w:rsid w:val="13596CEC"/>
    <w:rsid w:val="1359756C"/>
    <w:rsid w:val="135C3AB9"/>
    <w:rsid w:val="136B08B3"/>
    <w:rsid w:val="13744B61"/>
    <w:rsid w:val="137A40BD"/>
    <w:rsid w:val="138F4ADA"/>
    <w:rsid w:val="13910B1E"/>
    <w:rsid w:val="1392098C"/>
    <w:rsid w:val="13B563DA"/>
    <w:rsid w:val="13B772BD"/>
    <w:rsid w:val="13BC4080"/>
    <w:rsid w:val="13BD31AB"/>
    <w:rsid w:val="13C1348F"/>
    <w:rsid w:val="13CD27B6"/>
    <w:rsid w:val="13E022AE"/>
    <w:rsid w:val="13E532CA"/>
    <w:rsid w:val="13ED0B0B"/>
    <w:rsid w:val="13ED7D7F"/>
    <w:rsid w:val="13F03755"/>
    <w:rsid w:val="13F96221"/>
    <w:rsid w:val="14007100"/>
    <w:rsid w:val="14037464"/>
    <w:rsid w:val="14041834"/>
    <w:rsid w:val="140C178D"/>
    <w:rsid w:val="14142D39"/>
    <w:rsid w:val="14145A78"/>
    <w:rsid w:val="14176353"/>
    <w:rsid w:val="141F7FB3"/>
    <w:rsid w:val="14242FDA"/>
    <w:rsid w:val="142D67FD"/>
    <w:rsid w:val="14436E72"/>
    <w:rsid w:val="144F55C3"/>
    <w:rsid w:val="1450322B"/>
    <w:rsid w:val="14547E86"/>
    <w:rsid w:val="14637D36"/>
    <w:rsid w:val="146B2919"/>
    <w:rsid w:val="14775F02"/>
    <w:rsid w:val="147C2A02"/>
    <w:rsid w:val="147E33CA"/>
    <w:rsid w:val="1487373C"/>
    <w:rsid w:val="14880C3A"/>
    <w:rsid w:val="14960C1B"/>
    <w:rsid w:val="14B0700C"/>
    <w:rsid w:val="14BE42CF"/>
    <w:rsid w:val="14C02505"/>
    <w:rsid w:val="14C10602"/>
    <w:rsid w:val="14C34089"/>
    <w:rsid w:val="14DA25EE"/>
    <w:rsid w:val="14DB33FC"/>
    <w:rsid w:val="14DD38E5"/>
    <w:rsid w:val="14DE0AFC"/>
    <w:rsid w:val="14E7787F"/>
    <w:rsid w:val="14F44F2E"/>
    <w:rsid w:val="1504779D"/>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352BE"/>
    <w:rsid w:val="15EB4378"/>
    <w:rsid w:val="15FB4E72"/>
    <w:rsid w:val="160B185E"/>
    <w:rsid w:val="16106849"/>
    <w:rsid w:val="16142093"/>
    <w:rsid w:val="1628036C"/>
    <w:rsid w:val="16435A3F"/>
    <w:rsid w:val="164E6878"/>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D0B49"/>
    <w:rsid w:val="16D50CFC"/>
    <w:rsid w:val="16E33AB3"/>
    <w:rsid w:val="16EB76EF"/>
    <w:rsid w:val="16F1418C"/>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A9660F"/>
    <w:rsid w:val="17AC2BC8"/>
    <w:rsid w:val="17B52D69"/>
    <w:rsid w:val="17B73D84"/>
    <w:rsid w:val="17C33EF7"/>
    <w:rsid w:val="17D04B6E"/>
    <w:rsid w:val="17D80F4C"/>
    <w:rsid w:val="17E14521"/>
    <w:rsid w:val="17EA61AE"/>
    <w:rsid w:val="18002CEE"/>
    <w:rsid w:val="180414A0"/>
    <w:rsid w:val="18077070"/>
    <w:rsid w:val="18117661"/>
    <w:rsid w:val="182307A2"/>
    <w:rsid w:val="184840C9"/>
    <w:rsid w:val="18523ADE"/>
    <w:rsid w:val="18660CD4"/>
    <w:rsid w:val="1866694B"/>
    <w:rsid w:val="186C1ACE"/>
    <w:rsid w:val="1884015D"/>
    <w:rsid w:val="18890477"/>
    <w:rsid w:val="188C5B30"/>
    <w:rsid w:val="188C6C7D"/>
    <w:rsid w:val="18960812"/>
    <w:rsid w:val="189C7EF6"/>
    <w:rsid w:val="18B04B4D"/>
    <w:rsid w:val="18B04EB7"/>
    <w:rsid w:val="18B119EB"/>
    <w:rsid w:val="18C5316D"/>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1732F"/>
    <w:rsid w:val="19D842E3"/>
    <w:rsid w:val="19E502ED"/>
    <w:rsid w:val="19F92180"/>
    <w:rsid w:val="1A001213"/>
    <w:rsid w:val="1A0D4248"/>
    <w:rsid w:val="1A193779"/>
    <w:rsid w:val="1A200A74"/>
    <w:rsid w:val="1A224DDA"/>
    <w:rsid w:val="1A2619C2"/>
    <w:rsid w:val="1A273DF6"/>
    <w:rsid w:val="1A2F2398"/>
    <w:rsid w:val="1A3055B8"/>
    <w:rsid w:val="1A5655AF"/>
    <w:rsid w:val="1A581194"/>
    <w:rsid w:val="1A5F508B"/>
    <w:rsid w:val="1A69797C"/>
    <w:rsid w:val="1A6B5CD7"/>
    <w:rsid w:val="1A98475D"/>
    <w:rsid w:val="1A9B675D"/>
    <w:rsid w:val="1AA03985"/>
    <w:rsid w:val="1AA31400"/>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C5A93"/>
    <w:rsid w:val="1C3D2E04"/>
    <w:rsid w:val="1C3D5C01"/>
    <w:rsid w:val="1C4811FB"/>
    <w:rsid w:val="1C4852DE"/>
    <w:rsid w:val="1C4D45E0"/>
    <w:rsid w:val="1C512857"/>
    <w:rsid w:val="1C5276D3"/>
    <w:rsid w:val="1C643148"/>
    <w:rsid w:val="1C7046F1"/>
    <w:rsid w:val="1C731024"/>
    <w:rsid w:val="1C7E73CF"/>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5582C"/>
    <w:rsid w:val="1DBC1C44"/>
    <w:rsid w:val="1DCA4CD3"/>
    <w:rsid w:val="1DCC2895"/>
    <w:rsid w:val="1DD222AA"/>
    <w:rsid w:val="1DD4692F"/>
    <w:rsid w:val="1DF24DA6"/>
    <w:rsid w:val="1DF43659"/>
    <w:rsid w:val="1DFC21EE"/>
    <w:rsid w:val="1E096FC1"/>
    <w:rsid w:val="1E0E4DD7"/>
    <w:rsid w:val="1E1159C0"/>
    <w:rsid w:val="1E200CF1"/>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DC2551"/>
    <w:rsid w:val="1EDC50AE"/>
    <w:rsid w:val="1EE121BE"/>
    <w:rsid w:val="1EF23920"/>
    <w:rsid w:val="1EF80396"/>
    <w:rsid w:val="1F025038"/>
    <w:rsid w:val="1F032AB6"/>
    <w:rsid w:val="1F06550F"/>
    <w:rsid w:val="1F1C29EF"/>
    <w:rsid w:val="1F234826"/>
    <w:rsid w:val="1F31645A"/>
    <w:rsid w:val="1F3B0B82"/>
    <w:rsid w:val="1F4773C4"/>
    <w:rsid w:val="1F490531"/>
    <w:rsid w:val="1F4934E4"/>
    <w:rsid w:val="1F4C44D7"/>
    <w:rsid w:val="1F517BAC"/>
    <w:rsid w:val="1F5C56B9"/>
    <w:rsid w:val="1F5E0D38"/>
    <w:rsid w:val="1F5F4414"/>
    <w:rsid w:val="1F637F58"/>
    <w:rsid w:val="1F826970"/>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F3B23"/>
    <w:rsid w:val="201967D7"/>
    <w:rsid w:val="20374786"/>
    <w:rsid w:val="2039386F"/>
    <w:rsid w:val="204652BA"/>
    <w:rsid w:val="204C3A64"/>
    <w:rsid w:val="20601C10"/>
    <w:rsid w:val="2068761A"/>
    <w:rsid w:val="20757C7B"/>
    <w:rsid w:val="208B02C7"/>
    <w:rsid w:val="20934821"/>
    <w:rsid w:val="20A13861"/>
    <w:rsid w:val="20A1469C"/>
    <w:rsid w:val="20A73604"/>
    <w:rsid w:val="20BB0C31"/>
    <w:rsid w:val="20BF5F5D"/>
    <w:rsid w:val="20C66D8E"/>
    <w:rsid w:val="20CF37FC"/>
    <w:rsid w:val="20D63E00"/>
    <w:rsid w:val="20D717F3"/>
    <w:rsid w:val="20E02D05"/>
    <w:rsid w:val="20E174BD"/>
    <w:rsid w:val="20F01565"/>
    <w:rsid w:val="20F12135"/>
    <w:rsid w:val="20F90AAC"/>
    <w:rsid w:val="20FA405B"/>
    <w:rsid w:val="20FE0B65"/>
    <w:rsid w:val="21041267"/>
    <w:rsid w:val="212B616E"/>
    <w:rsid w:val="213121BA"/>
    <w:rsid w:val="21326410"/>
    <w:rsid w:val="214A2960"/>
    <w:rsid w:val="214D20D4"/>
    <w:rsid w:val="215302B9"/>
    <w:rsid w:val="215670DE"/>
    <w:rsid w:val="217102B7"/>
    <w:rsid w:val="2183462B"/>
    <w:rsid w:val="218E4A09"/>
    <w:rsid w:val="218E6399"/>
    <w:rsid w:val="219C6DDD"/>
    <w:rsid w:val="21A267FB"/>
    <w:rsid w:val="21A65C3E"/>
    <w:rsid w:val="21BB2F28"/>
    <w:rsid w:val="21DF3292"/>
    <w:rsid w:val="21DF71DE"/>
    <w:rsid w:val="21FE4E4A"/>
    <w:rsid w:val="22111157"/>
    <w:rsid w:val="2226397C"/>
    <w:rsid w:val="2229623B"/>
    <w:rsid w:val="223A67A6"/>
    <w:rsid w:val="22477192"/>
    <w:rsid w:val="224C2951"/>
    <w:rsid w:val="224D1C76"/>
    <w:rsid w:val="22505840"/>
    <w:rsid w:val="2252126E"/>
    <w:rsid w:val="22762010"/>
    <w:rsid w:val="2276233E"/>
    <w:rsid w:val="227A54E3"/>
    <w:rsid w:val="22865CFC"/>
    <w:rsid w:val="228738BF"/>
    <w:rsid w:val="22964C60"/>
    <w:rsid w:val="22B0505D"/>
    <w:rsid w:val="22BA31B9"/>
    <w:rsid w:val="22BD3256"/>
    <w:rsid w:val="22BD4E7D"/>
    <w:rsid w:val="22D07449"/>
    <w:rsid w:val="22E40F3D"/>
    <w:rsid w:val="22FC6881"/>
    <w:rsid w:val="230B248C"/>
    <w:rsid w:val="231847B8"/>
    <w:rsid w:val="231E3ED2"/>
    <w:rsid w:val="23245E3C"/>
    <w:rsid w:val="23304ABE"/>
    <w:rsid w:val="234421C7"/>
    <w:rsid w:val="234D61BE"/>
    <w:rsid w:val="23500A60"/>
    <w:rsid w:val="23537C14"/>
    <w:rsid w:val="235807FE"/>
    <w:rsid w:val="2362645B"/>
    <w:rsid w:val="236E0B9E"/>
    <w:rsid w:val="23700EEA"/>
    <w:rsid w:val="2373688C"/>
    <w:rsid w:val="237C41A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D92A69"/>
    <w:rsid w:val="24EC3BCA"/>
    <w:rsid w:val="24EC4ADF"/>
    <w:rsid w:val="24EF6448"/>
    <w:rsid w:val="24F45FD0"/>
    <w:rsid w:val="24F71B8F"/>
    <w:rsid w:val="24F92CDE"/>
    <w:rsid w:val="250A2221"/>
    <w:rsid w:val="250C0B5D"/>
    <w:rsid w:val="251D528F"/>
    <w:rsid w:val="252129A2"/>
    <w:rsid w:val="2526703C"/>
    <w:rsid w:val="25335BFF"/>
    <w:rsid w:val="25353A77"/>
    <w:rsid w:val="253D4E51"/>
    <w:rsid w:val="25462DA6"/>
    <w:rsid w:val="255E002A"/>
    <w:rsid w:val="25893EFE"/>
    <w:rsid w:val="2598706E"/>
    <w:rsid w:val="25A115C9"/>
    <w:rsid w:val="25B02203"/>
    <w:rsid w:val="25B35E6A"/>
    <w:rsid w:val="25BE6749"/>
    <w:rsid w:val="25DE0185"/>
    <w:rsid w:val="25E04003"/>
    <w:rsid w:val="25EE6875"/>
    <w:rsid w:val="25F86534"/>
    <w:rsid w:val="26056FD7"/>
    <w:rsid w:val="260C334C"/>
    <w:rsid w:val="260C5700"/>
    <w:rsid w:val="26276BC7"/>
    <w:rsid w:val="262E1EAD"/>
    <w:rsid w:val="262E24B2"/>
    <w:rsid w:val="263878CF"/>
    <w:rsid w:val="26412189"/>
    <w:rsid w:val="26517452"/>
    <w:rsid w:val="26566E1C"/>
    <w:rsid w:val="26613FB9"/>
    <w:rsid w:val="2679079E"/>
    <w:rsid w:val="268120E0"/>
    <w:rsid w:val="268B4EFD"/>
    <w:rsid w:val="269F3FC9"/>
    <w:rsid w:val="26A10A64"/>
    <w:rsid w:val="26A24282"/>
    <w:rsid w:val="26A84F52"/>
    <w:rsid w:val="26BB6790"/>
    <w:rsid w:val="26C84C3F"/>
    <w:rsid w:val="26CA39FA"/>
    <w:rsid w:val="26D85E33"/>
    <w:rsid w:val="26DB2072"/>
    <w:rsid w:val="270A0CB9"/>
    <w:rsid w:val="270B4A30"/>
    <w:rsid w:val="270C4AA5"/>
    <w:rsid w:val="270F1235"/>
    <w:rsid w:val="27154206"/>
    <w:rsid w:val="271D238B"/>
    <w:rsid w:val="272A62FD"/>
    <w:rsid w:val="273460AC"/>
    <w:rsid w:val="2737495D"/>
    <w:rsid w:val="273E42CE"/>
    <w:rsid w:val="274E64D1"/>
    <w:rsid w:val="276E4F5B"/>
    <w:rsid w:val="2784424C"/>
    <w:rsid w:val="27862FAB"/>
    <w:rsid w:val="278F67DD"/>
    <w:rsid w:val="27A268B7"/>
    <w:rsid w:val="27B3345D"/>
    <w:rsid w:val="27B778B7"/>
    <w:rsid w:val="27C25D9D"/>
    <w:rsid w:val="27CE4805"/>
    <w:rsid w:val="27D32862"/>
    <w:rsid w:val="27DC01C9"/>
    <w:rsid w:val="27E24B4A"/>
    <w:rsid w:val="27E53287"/>
    <w:rsid w:val="27E8590F"/>
    <w:rsid w:val="27EA6D62"/>
    <w:rsid w:val="28151DED"/>
    <w:rsid w:val="28300784"/>
    <w:rsid w:val="28316877"/>
    <w:rsid w:val="283A1513"/>
    <w:rsid w:val="283D77DD"/>
    <w:rsid w:val="283F2A39"/>
    <w:rsid w:val="2845420B"/>
    <w:rsid w:val="286260C3"/>
    <w:rsid w:val="28630E79"/>
    <w:rsid w:val="286C4BBC"/>
    <w:rsid w:val="28871103"/>
    <w:rsid w:val="289E6725"/>
    <w:rsid w:val="28A2337A"/>
    <w:rsid w:val="28A83323"/>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C52E87"/>
    <w:rsid w:val="29C80548"/>
    <w:rsid w:val="29CE7264"/>
    <w:rsid w:val="29D9317B"/>
    <w:rsid w:val="29EC161D"/>
    <w:rsid w:val="29F04EAF"/>
    <w:rsid w:val="29F116D0"/>
    <w:rsid w:val="2A0241CA"/>
    <w:rsid w:val="2A0777DB"/>
    <w:rsid w:val="2A1074D9"/>
    <w:rsid w:val="2A136762"/>
    <w:rsid w:val="2A154338"/>
    <w:rsid w:val="2A1E7E82"/>
    <w:rsid w:val="2A447AF7"/>
    <w:rsid w:val="2A606A11"/>
    <w:rsid w:val="2A7D5C08"/>
    <w:rsid w:val="2A832C81"/>
    <w:rsid w:val="2A846AB0"/>
    <w:rsid w:val="2A90033E"/>
    <w:rsid w:val="2AA47786"/>
    <w:rsid w:val="2AAA19F3"/>
    <w:rsid w:val="2AAD65EE"/>
    <w:rsid w:val="2AB23403"/>
    <w:rsid w:val="2AC27269"/>
    <w:rsid w:val="2AC77380"/>
    <w:rsid w:val="2ACE617E"/>
    <w:rsid w:val="2ADB4579"/>
    <w:rsid w:val="2ADD6AFD"/>
    <w:rsid w:val="2ADE6550"/>
    <w:rsid w:val="2AEA0CBC"/>
    <w:rsid w:val="2AFE0D9C"/>
    <w:rsid w:val="2B16602A"/>
    <w:rsid w:val="2B2C1FD1"/>
    <w:rsid w:val="2B2E0309"/>
    <w:rsid w:val="2B4132DB"/>
    <w:rsid w:val="2B422946"/>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D1352C4"/>
    <w:rsid w:val="2D1D56C0"/>
    <w:rsid w:val="2D310CA2"/>
    <w:rsid w:val="2D3A323B"/>
    <w:rsid w:val="2D444485"/>
    <w:rsid w:val="2D4B55E5"/>
    <w:rsid w:val="2D4C0E6E"/>
    <w:rsid w:val="2D4C6148"/>
    <w:rsid w:val="2D53589F"/>
    <w:rsid w:val="2D5B1217"/>
    <w:rsid w:val="2D636D67"/>
    <w:rsid w:val="2D7646A7"/>
    <w:rsid w:val="2D7B05FB"/>
    <w:rsid w:val="2D8A4A41"/>
    <w:rsid w:val="2D8A62C6"/>
    <w:rsid w:val="2D926963"/>
    <w:rsid w:val="2DA21C7A"/>
    <w:rsid w:val="2DB30550"/>
    <w:rsid w:val="2DDA7850"/>
    <w:rsid w:val="2DDC0104"/>
    <w:rsid w:val="2DE379BB"/>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B575E"/>
    <w:rsid w:val="2EAD6888"/>
    <w:rsid w:val="2EB413EF"/>
    <w:rsid w:val="2EB50951"/>
    <w:rsid w:val="2EB673FD"/>
    <w:rsid w:val="2EB809B1"/>
    <w:rsid w:val="2EB81831"/>
    <w:rsid w:val="2EBC7A6F"/>
    <w:rsid w:val="2EC40E47"/>
    <w:rsid w:val="2EC941FC"/>
    <w:rsid w:val="2ECF7A85"/>
    <w:rsid w:val="2EE054B3"/>
    <w:rsid w:val="2EEB0155"/>
    <w:rsid w:val="2EFA0186"/>
    <w:rsid w:val="2EFA6107"/>
    <w:rsid w:val="2F0236C3"/>
    <w:rsid w:val="2F082BB8"/>
    <w:rsid w:val="2F0F048D"/>
    <w:rsid w:val="2F0F7632"/>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C733B8"/>
    <w:rsid w:val="2FCA4F20"/>
    <w:rsid w:val="2FF433FB"/>
    <w:rsid w:val="30054EEB"/>
    <w:rsid w:val="300C4C70"/>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442CD4"/>
    <w:rsid w:val="31445B9B"/>
    <w:rsid w:val="314D2A6F"/>
    <w:rsid w:val="314F5F72"/>
    <w:rsid w:val="316B13D5"/>
    <w:rsid w:val="31720F1D"/>
    <w:rsid w:val="31745B98"/>
    <w:rsid w:val="317A7F18"/>
    <w:rsid w:val="317D6929"/>
    <w:rsid w:val="317E525C"/>
    <w:rsid w:val="319951C3"/>
    <w:rsid w:val="31B3107E"/>
    <w:rsid w:val="31B347D1"/>
    <w:rsid w:val="31BF03E5"/>
    <w:rsid w:val="31D371E1"/>
    <w:rsid w:val="31E65427"/>
    <w:rsid w:val="31EF7D40"/>
    <w:rsid w:val="31F33BFC"/>
    <w:rsid w:val="31F43BF9"/>
    <w:rsid w:val="31F96A5C"/>
    <w:rsid w:val="31FA0E29"/>
    <w:rsid w:val="31FB6610"/>
    <w:rsid w:val="31FE3F69"/>
    <w:rsid w:val="32006ED8"/>
    <w:rsid w:val="320733C3"/>
    <w:rsid w:val="321C18F4"/>
    <w:rsid w:val="321C2B52"/>
    <w:rsid w:val="321F61EC"/>
    <w:rsid w:val="32231F22"/>
    <w:rsid w:val="322E2854"/>
    <w:rsid w:val="323036BA"/>
    <w:rsid w:val="32455CE0"/>
    <w:rsid w:val="324F04DB"/>
    <w:rsid w:val="32503DFA"/>
    <w:rsid w:val="3255415E"/>
    <w:rsid w:val="32596DEE"/>
    <w:rsid w:val="325F76B1"/>
    <w:rsid w:val="32692300"/>
    <w:rsid w:val="32702FC0"/>
    <w:rsid w:val="327144B7"/>
    <w:rsid w:val="327C6A8D"/>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604260"/>
    <w:rsid w:val="33775E05"/>
    <w:rsid w:val="337F2716"/>
    <w:rsid w:val="338574F9"/>
    <w:rsid w:val="33A078AB"/>
    <w:rsid w:val="33A222F8"/>
    <w:rsid w:val="33A5187D"/>
    <w:rsid w:val="33B85C62"/>
    <w:rsid w:val="33B90357"/>
    <w:rsid w:val="33C3614F"/>
    <w:rsid w:val="33D62B96"/>
    <w:rsid w:val="33D90B5F"/>
    <w:rsid w:val="33E32DB1"/>
    <w:rsid w:val="33E91900"/>
    <w:rsid w:val="33FE5C2D"/>
    <w:rsid w:val="33FF7460"/>
    <w:rsid w:val="341B058D"/>
    <w:rsid w:val="344127C5"/>
    <w:rsid w:val="34526E6E"/>
    <w:rsid w:val="345B1895"/>
    <w:rsid w:val="3463085A"/>
    <w:rsid w:val="34653B2A"/>
    <w:rsid w:val="34745294"/>
    <w:rsid w:val="34746874"/>
    <w:rsid w:val="34800297"/>
    <w:rsid w:val="3485590E"/>
    <w:rsid w:val="34946C2E"/>
    <w:rsid w:val="349A6D7E"/>
    <w:rsid w:val="34A24AD6"/>
    <w:rsid w:val="34AB6505"/>
    <w:rsid w:val="34AE3A84"/>
    <w:rsid w:val="34C04708"/>
    <w:rsid w:val="34C967AE"/>
    <w:rsid w:val="34D40B6A"/>
    <w:rsid w:val="34D46D17"/>
    <w:rsid w:val="34D93189"/>
    <w:rsid w:val="34FB2B80"/>
    <w:rsid w:val="34FD5844"/>
    <w:rsid w:val="352201AD"/>
    <w:rsid w:val="35280DED"/>
    <w:rsid w:val="35463167"/>
    <w:rsid w:val="355B69FC"/>
    <w:rsid w:val="35665ADB"/>
    <w:rsid w:val="356F47B8"/>
    <w:rsid w:val="3572001E"/>
    <w:rsid w:val="357E63AE"/>
    <w:rsid w:val="35816EB9"/>
    <w:rsid w:val="35821E3D"/>
    <w:rsid w:val="35932D29"/>
    <w:rsid w:val="359F5261"/>
    <w:rsid w:val="35AD209F"/>
    <w:rsid w:val="35AD4D18"/>
    <w:rsid w:val="35B35F81"/>
    <w:rsid w:val="35BE39BF"/>
    <w:rsid w:val="35C2434B"/>
    <w:rsid w:val="35CC3248"/>
    <w:rsid w:val="35DF5798"/>
    <w:rsid w:val="35F421D8"/>
    <w:rsid w:val="35F81CC4"/>
    <w:rsid w:val="35FA7E78"/>
    <w:rsid w:val="35FE0867"/>
    <w:rsid w:val="35FE7215"/>
    <w:rsid w:val="35FF2DF2"/>
    <w:rsid w:val="36000F59"/>
    <w:rsid w:val="3600703E"/>
    <w:rsid w:val="360A456E"/>
    <w:rsid w:val="360B232F"/>
    <w:rsid w:val="360C527F"/>
    <w:rsid w:val="361D59BA"/>
    <w:rsid w:val="36243BAF"/>
    <w:rsid w:val="36247CCA"/>
    <w:rsid w:val="36280FB0"/>
    <w:rsid w:val="363122F8"/>
    <w:rsid w:val="36400759"/>
    <w:rsid w:val="364225B8"/>
    <w:rsid w:val="364B4F18"/>
    <w:rsid w:val="364C3867"/>
    <w:rsid w:val="36544E83"/>
    <w:rsid w:val="36601F32"/>
    <w:rsid w:val="367B06EC"/>
    <w:rsid w:val="368400A0"/>
    <w:rsid w:val="369769C5"/>
    <w:rsid w:val="36977349"/>
    <w:rsid w:val="36A57135"/>
    <w:rsid w:val="36AA5184"/>
    <w:rsid w:val="36AF0D32"/>
    <w:rsid w:val="36C36BDE"/>
    <w:rsid w:val="36C5070D"/>
    <w:rsid w:val="36C5766F"/>
    <w:rsid w:val="36D704F3"/>
    <w:rsid w:val="36E90250"/>
    <w:rsid w:val="36ED465C"/>
    <w:rsid w:val="36F13515"/>
    <w:rsid w:val="370058B6"/>
    <w:rsid w:val="37066B46"/>
    <w:rsid w:val="370B45F5"/>
    <w:rsid w:val="37131885"/>
    <w:rsid w:val="37415551"/>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D63E4"/>
    <w:rsid w:val="38241CFE"/>
    <w:rsid w:val="38244FE4"/>
    <w:rsid w:val="382E3A30"/>
    <w:rsid w:val="383C048E"/>
    <w:rsid w:val="38454C9B"/>
    <w:rsid w:val="38484E6F"/>
    <w:rsid w:val="385A5B31"/>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825EF1"/>
    <w:rsid w:val="398636A1"/>
    <w:rsid w:val="39897949"/>
    <w:rsid w:val="399D7118"/>
    <w:rsid w:val="39A6571B"/>
    <w:rsid w:val="39BC5220"/>
    <w:rsid w:val="39BE4A47"/>
    <w:rsid w:val="39CA0125"/>
    <w:rsid w:val="39D879D3"/>
    <w:rsid w:val="39E245E4"/>
    <w:rsid w:val="39FC179E"/>
    <w:rsid w:val="3A014E17"/>
    <w:rsid w:val="3A066018"/>
    <w:rsid w:val="3A0A15FB"/>
    <w:rsid w:val="3A172B9E"/>
    <w:rsid w:val="3A27547C"/>
    <w:rsid w:val="3A3871E3"/>
    <w:rsid w:val="3A3A7BDB"/>
    <w:rsid w:val="3A3C3C45"/>
    <w:rsid w:val="3A663EB0"/>
    <w:rsid w:val="3A87071A"/>
    <w:rsid w:val="3A9B7C92"/>
    <w:rsid w:val="3AA845F2"/>
    <w:rsid w:val="3AAC76F2"/>
    <w:rsid w:val="3AAD5CAC"/>
    <w:rsid w:val="3AAF045C"/>
    <w:rsid w:val="3AD8079E"/>
    <w:rsid w:val="3AD80861"/>
    <w:rsid w:val="3AEA5500"/>
    <w:rsid w:val="3AF05E33"/>
    <w:rsid w:val="3AF1344F"/>
    <w:rsid w:val="3B1C5B19"/>
    <w:rsid w:val="3B2301BB"/>
    <w:rsid w:val="3B294F65"/>
    <w:rsid w:val="3B2C7653"/>
    <w:rsid w:val="3B362C4D"/>
    <w:rsid w:val="3B45316C"/>
    <w:rsid w:val="3B476ACD"/>
    <w:rsid w:val="3B557D87"/>
    <w:rsid w:val="3B834C9D"/>
    <w:rsid w:val="3B8631C4"/>
    <w:rsid w:val="3B937719"/>
    <w:rsid w:val="3B942B73"/>
    <w:rsid w:val="3B9674D7"/>
    <w:rsid w:val="3BA20424"/>
    <w:rsid w:val="3BAE3B93"/>
    <w:rsid w:val="3BB335AC"/>
    <w:rsid w:val="3BC165FE"/>
    <w:rsid w:val="3BD3067E"/>
    <w:rsid w:val="3BD53AB5"/>
    <w:rsid w:val="3BED2875"/>
    <w:rsid w:val="3BEF40B2"/>
    <w:rsid w:val="3BF35166"/>
    <w:rsid w:val="3BFF61D4"/>
    <w:rsid w:val="3C0104C3"/>
    <w:rsid w:val="3C054F49"/>
    <w:rsid w:val="3C1708D8"/>
    <w:rsid w:val="3C262C87"/>
    <w:rsid w:val="3C26613B"/>
    <w:rsid w:val="3C307F03"/>
    <w:rsid w:val="3C3C39A0"/>
    <w:rsid w:val="3C3E72F6"/>
    <w:rsid w:val="3C5A7EF6"/>
    <w:rsid w:val="3C5F2E1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7310"/>
    <w:rsid w:val="3D0154CA"/>
    <w:rsid w:val="3D117E02"/>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127B19"/>
    <w:rsid w:val="3E2653DC"/>
    <w:rsid w:val="3E280BEF"/>
    <w:rsid w:val="3E2B50D7"/>
    <w:rsid w:val="3E327F30"/>
    <w:rsid w:val="3E330ACA"/>
    <w:rsid w:val="3E352253"/>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B1447F"/>
    <w:rsid w:val="3FC35AFC"/>
    <w:rsid w:val="3FC41983"/>
    <w:rsid w:val="3FD1414D"/>
    <w:rsid w:val="3FD81218"/>
    <w:rsid w:val="3FE86F49"/>
    <w:rsid w:val="3FF35E75"/>
    <w:rsid w:val="400479C3"/>
    <w:rsid w:val="40240F49"/>
    <w:rsid w:val="40404B79"/>
    <w:rsid w:val="40407791"/>
    <w:rsid w:val="404358BE"/>
    <w:rsid w:val="40440ADB"/>
    <w:rsid w:val="40780473"/>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3082C"/>
    <w:rsid w:val="411713CA"/>
    <w:rsid w:val="411A6663"/>
    <w:rsid w:val="412D5086"/>
    <w:rsid w:val="413010DA"/>
    <w:rsid w:val="414B5216"/>
    <w:rsid w:val="416E59E3"/>
    <w:rsid w:val="417B7C4C"/>
    <w:rsid w:val="417C0DD3"/>
    <w:rsid w:val="417C4EC1"/>
    <w:rsid w:val="41A664B7"/>
    <w:rsid w:val="41B06AAF"/>
    <w:rsid w:val="41B601E7"/>
    <w:rsid w:val="41CF3C25"/>
    <w:rsid w:val="41D57DE1"/>
    <w:rsid w:val="41D82E36"/>
    <w:rsid w:val="41DF5CBF"/>
    <w:rsid w:val="41EB174A"/>
    <w:rsid w:val="41EE3F21"/>
    <w:rsid w:val="41F025CB"/>
    <w:rsid w:val="42015830"/>
    <w:rsid w:val="42204C7E"/>
    <w:rsid w:val="42226713"/>
    <w:rsid w:val="42286978"/>
    <w:rsid w:val="422B2BA1"/>
    <w:rsid w:val="4231785A"/>
    <w:rsid w:val="4235332E"/>
    <w:rsid w:val="42513ADD"/>
    <w:rsid w:val="42584818"/>
    <w:rsid w:val="42606C69"/>
    <w:rsid w:val="427E48C1"/>
    <w:rsid w:val="428D7881"/>
    <w:rsid w:val="42926048"/>
    <w:rsid w:val="429B6E22"/>
    <w:rsid w:val="429C6B61"/>
    <w:rsid w:val="42BA33B4"/>
    <w:rsid w:val="42BF4C55"/>
    <w:rsid w:val="42C02D5E"/>
    <w:rsid w:val="42C845D8"/>
    <w:rsid w:val="42F70947"/>
    <w:rsid w:val="42F91034"/>
    <w:rsid w:val="43016FD8"/>
    <w:rsid w:val="43034E9A"/>
    <w:rsid w:val="430D77C7"/>
    <w:rsid w:val="43262E27"/>
    <w:rsid w:val="433A1710"/>
    <w:rsid w:val="434841F7"/>
    <w:rsid w:val="434D6B99"/>
    <w:rsid w:val="43514383"/>
    <w:rsid w:val="43524A05"/>
    <w:rsid w:val="43655B98"/>
    <w:rsid w:val="43715C61"/>
    <w:rsid w:val="437D1A33"/>
    <w:rsid w:val="437F792B"/>
    <w:rsid w:val="43871CB4"/>
    <w:rsid w:val="43941A01"/>
    <w:rsid w:val="439828B7"/>
    <w:rsid w:val="43BE214E"/>
    <w:rsid w:val="43CD402D"/>
    <w:rsid w:val="43D40410"/>
    <w:rsid w:val="43ED298C"/>
    <w:rsid w:val="43EF2991"/>
    <w:rsid w:val="43F4696E"/>
    <w:rsid w:val="440021F6"/>
    <w:rsid w:val="44003963"/>
    <w:rsid w:val="442D4378"/>
    <w:rsid w:val="443127CF"/>
    <w:rsid w:val="44576235"/>
    <w:rsid w:val="44597BEE"/>
    <w:rsid w:val="44741317"/>
    <w:rsid w:val="44775260"/>
    <w:rsid w:val="447A4753"/>
    <w:rsid w:val="447A77AA"/>
    <w:rsid w:val="448231D7"/>
    <w:rsid w:val="448C7B84"/>
    <w:rsid w:val="448F7502"/>
    <w:rsid w:val="449754D1"/>
    <w:rsid w:val="449B5118"/>
    <w:rsid w:val="44A70E24"/>
    <w:rsid w:val="44BE23BB"/>
    <w:rsid w:val="44DA3A0F"/>
    <w:rsid w:val="44DD300E"/>
    <w:rsid w:val="44DE0092"/>
    <w:rsid w:val="44E2656D"/>
    <w:rsid w:val="44F11452"/>
    <w:rsid w:val="4504003A"/>
    <w:rsid w:val="45177BA4"/>
    <w:rsid w:val="451C551F"/>
    <w:rsid w:val="451F24D7"/>
    <w:rsid w:val="451F3CCA"/>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FB48CF"/>
    <w:rsid w:val="45FC3625"/>
    <w:rsid w:val="460B1E88"/>
    <w:rsid w:val="460F3903"/>
    <w:rsid w:val="461853CA"/>
    <w:rsid w:val="461C4CAD"/>
    <w:rsid w:val="461D49DF"/>
    <w:rsid w:val="462D5677"/>
    <w:rsid w:val="462D5957"/>
    <w:rsid w:val="463354F6"/>
    <w:rsid w:val="463546D0"/>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680EBB"/>
    <w:rsid w:val="47715F93"/>
    <w:rsid w:val="478D4609"/>
    <w:rsid w:val="478D6A12"/>
    <w:rsid w:val="479149F3"/>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B54923"/>
    <w:rsid w:val="48B84FB8"/>
    <w:rsid w:val="48E06989"/>
    <w:rsid w:val="48E92C88"/>
    <w:rsid w:val="48EB1D85"/>
    <w:rsid w:val="48F972E8"/>
    <w:rsid w:val="49020F8E"/>
    <w:rsid w:val="490C731D"/>
    <w:rsid w:val="49124D56"/>
    <w:rsid w:val="49326481"/>
    <w:rsid w:val="49406CB6"/>
    <w:rsid w:val="494C141C"/>
    <w:rsid w:val="4954359E"/>
    <w:rsid w:val="495C0CFA"/>
    <w:rsid w:val="49821D8D"/>
    <w:rsid w:val="4987544D"/>
    <w:rsid w:val="498B2C40"/>
    <w:rsid w:val="49A05099"/>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632C56"/>
    <w:rsid w:val="4A863FBD"/>
    <w:rsid w:val="4A892CB4"/>
    <w:rsid w:val="4AA927DF"/>
    <w:rsid w:val="4AB450E7"/>
    <w:rsid w:val="4ABA10FB"/>
    <w:rsid w:val="4ABD2CBE"/>
    <w:rsid w:val="4AC45461"/>
    <w:rsid w:val="4ACA49FA"/>
    <w:rsid w:val="4ACC15C6"/>
    <w:rsid w:val="4ACC17F6"/>
    <w:rsid w:val="4AD00606"/>
    <w:rsid w:val="4ADD5255"/>
    <w:rsid w:val="4AE8469B"/>
    <w:rsid w:val="4AEB6B97"/>
    <w:rsid w:val="4AED30D2"/>
    <w:rsid w:val="4AF05435"/>
    <w:rsid w:val="4AFA15BB"/>
    <w:rsid w:val="4AFE1C1B"/>
    <w:rsid w:val="4B213A1D"/>
    <w:rsid w:val="4B2A63DE"/>
    <w:rsid w:val="4B381C19"/>
    <w:rsid w:val="4B3E0F06"/>
    <w:rsid w:val="4B4E7BFB"/>
    <w:rsid w:val="4B503DE9"/>
    <w:rsid w:val="4B592E57"/>
    <w:rsid w:val="4B731311"/>
    <w:rsid w:val="4B7F716D"/>
    <w:rsid w:val="4B8501BC"/>
    <w:rsid w:val="4B9228EB"/>
    <w:rsid w:val="4B991EDB"/>
    <w:rsid w:val="4B9A2375"/>
    <w:rsid w:val="4BA17322"/>
    <w:rsid w:val="4BAD17E4"/>
    <w:rsid w:val="4BBD2F45"/>
    <w:rsid w:val="4BD47F62"/>
    <w:rsid w:val="4C0D0455"/>
    <w:rsid w:val="4C1F7A5B"/>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86DA4"/>
    <w:rsid w:val="4D020DA5"/>
    <w:rsid w:val="4D0D52CB"/>
    <w:rsid w:val="4D120DE5"/>
    <w:rsid w:val="4D127586"/>
    <w:rsid w:val="4D2C1A77"/>
    <w:rsid w:val="4D416F8E"/>
    <w:rsid w:val="4D5142D4"/>
    <w:rsid w:val="4D566C49"/>
    <w:rsid w:val="4D6037A5"/>
    <w:rsid w:val="4D693694"/>
    <w:rsid w:val="4D743AA4"/>
    <w:rsid w:val="4D834946"/>
    <w:rsid w:val="4D993267"/>
    <w:rsid w:val="4DA1355F"/>
    <w:rsid w:val="4DA537BB"/>
    <w:rsid w:val="4DA53A8B"/>
    <w:rsid w:val="4DA62BFC"/>
    <w:rsid w:val="4DAE4BCF"/>
    <w:rsid w:val="4DBB336E"/>
    <w:rsid w:val="4DBE6815"/>
    <w:rsid w:val="4DC2611F"/>
    <w:rsid w:val="4DE72DDF"/>
    <w:rsid w:val="4DED7567"/>
    <w:rsid w:val="4DF67531"/>
    <w:rsid w:val="4DF9062B"/>
    <w:rsid w:val="4E014EF8"/>
    <w:rsid w:val="4E052000"/>
    <w:rsid w:val="4E066E93"/>
    <w:rsid w:val="4E075658"/>
    <w:rsid w:val="4E194BEF"/>
    <w:rsid w:val="4E1D7E77"/>
    <w:rsid w:val="4E236A05"/>
    <w:rsid w:val="4E264B45"/>
    <w:rsid w:val="4E3723D7"/>
    <w:rsid w:val="4E51451A"/>
    <w:rsid w:val="4E7D60BC"/>
    <w:rsid w:val="4E95295F"/>
    <w:rsid w:val="4E9B5BF1"/>
    <w:rsid w:val="4EA33B0C"/>
    <w:rsid w:val="4EDE397C"/>
    <w:rsid w:val="4EEF3623"/>
    <w:rsid w:val="4EF614BA"/>
    <w:rsid w:val="4EF62402"/>
    <w:rsid w:val="4F087D26"/>
    <w:rsid w:val="4F173315"/>
    <w:rsid w:val="4F1D643A"/>
    <w:rsid w:val="4F2042AF"/>
    <w:rsid w:val="4F2435DC"/>
    <w:rsid w:val="4F35630A"/>
    <w:rsid w:val="4F362E18"/>
    <w:rsid w:val="4F497B36"/>
    <w:rsid w:val="4F540B41"/>
    <w:rsid w:val="4F547EAA"/>
    <w:rsid w:val="4F5774C1"/>
    <w:rsid w:val="4F744081"/>
    <w:rsid w:val="4F832885"/>
    <w:rsid w:val="4F9039FE"/>
    <w:rsid w:val="4FA173CE"/>
    <w:rsid w:val="4FA54FE1"/>
    <w:rsid w:val="4FAA20BA"/>
    <w:rsid w:val="4FCF5D5C"/>
    <w:rsid w:val="4FE02223"/>
    <w:rsid w:val="4FE26A79"/>
    <w:rsid w:val="500F69BB"/>
    <w:rsid w:val="50437224"/>
    <w:rsid w:val="504648BC"/>
    <w:rsid w:val="50490678"/>
    <w:rsid w:val="505162F9"/>
    <w:rsid w:val="505A512C"/>
    <w:rsid w:val="50731F61"/>
    <w:rsid w:val="5077550F"/>
    <w:rsid w:val="5089260D"/>
    <w:rsid w:val="50895295"/>
    <w:rsid w:val="5098572F"/>
    <w:rsid w:val="50AD025B"/>
    <w:rsid w:val="50B906DF"/>
    <w:rsid w:val="50C80F42"/>
    <w:rsid w:val="50F018D3"/>
    <w:rsid w:val="50F419E6"/>
    <w:rsid w:val="50F47A17"/>
    <w:rsid w:val="51062782"/>
    <w:rsid w:val="51336612"/>
    <w:rsid w:val="513D38A6"/>
    <w:rsid w:val="51456AF4"/>
    <w:rsid w:val="515C1DCC"/>
    <w:rsid w:val="51657C34"/>
    <w:rsid w:val="51790E28"/>
    <w:rsid w:val="517C7028"/>
    <w:rsid w:val="518B673C"/>
    <w:rsid w:val="518E581B"/>
    <w:rsid w:val="51906BFC"/>
    <w:rsid w:val="519634A4"/>
    <w:rsid w:val="51967807"/>
    <w:rsid w:val="519B6609"/>
    <w:rsid w:val="51B1532D"/>
    <w:rsid w:val="51B858B2"/>
    <w:rsid w:val="51BE6CEC"/>
    <w:rsid w:val="51C26588"/>
    <w:rsid w:val="51D82383"/>
    <w:rsid w:val="51DE4114"/>
    <w:rsid w:val="51E110B3"/>
    <w:rsid w:val="51E31D3C"/>
    <w:rsid w:val="51E531F8"/>
    <w:rsid w:val="51F45C0D"/>
    <w:rsid w:val="51F45EC8"/>
    <w:rsid w:val="51FE2E2D"/>
    <w:rsid w:val="520A15B6"/>
    <w:rsid w:val="520F2ED4"/>
    <w:rsid w:val="521402BD"/>
    <w:rsid w:val="52152C19"/>
    <w:rsid w:val="522B39FB"/>
    <w:rsid w:val="52350DAA"/>
    <w:rsid w:val="52391E5F"/>
    <w:rsid w:val="52414E5C"/>
    <w:rsid w:val="524461BA"/>
    <w:rsid w:val="52463FBA"/>
    <w:rsid w:val="524A5D65"/>
    <w:rsid w:val="524C1BBF"/>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54E0"/>
    <w:rsid w:val="535B4487"/>
    <w:rsid w:val="53670639"/>
    <w:rsid w:val="53771618"/>
    <w:rsid w:val="537C1740"/>
    <w:rsid w:val="53B84C8E"/>
    <w:rsid w:val="53BC5C65"/>
    <w:rsid w:val="53C76A1E"/>
    <w:rsid w:val="53D4151B"/>
    <w:rsid w:val="53E65701"/>
    <w:rsid w:val="53EE36FA"/>
    <w:rsid w:val="53F52A77"/>
    <w:rsid w:val="53FD5774"/>
    <w:rsid w:val="5414272D"/>
    <w:rsid w:val="5426037B"/>
    <w:rsid w:val="542E6AAF"/>
    <w:rsid w:val="543D68D9"/>
    <w:rsid w:val="54417415"/>
    <w:rsid w:val="546F7A15"/>
    <w:rsid w:val="54871B54"/>
    <w:rsid w:val="549518D3"/>
    <w:rsid w:val="549F3EDE"/>
    <w:rsid w:val="54AA3CD9"/>
    <w:rsid w:val="54B76615"/>
    <w:rsid w:val="54BE58D0"/>
    <w:rsid w:val="54C0225E"/>
    <w:rsid w:val="54C069FB"/>
    <w:rsid w:val="54C96C83"/>
    <w:rsid w:val="54D31B63"/>
    <w:rsid w:val="54DC5A62"/>
    <w:rsid w:val="54EA3219"/>
    <w:rsid w:val="54ED4CD0"/>
    <w:rsid w:val="550118A5"/>
    <w:rsid w:val="55051D97"/>
    <w:rsid w:val="552E3723"/>
    <w:rsid w:val="553C6F74"/>
    <w:rsid w:val="554860F4"/>
    <w:rsid w:val="55582F0D"/>
    <w:rsid w:val="557A16A0"/>
    <w:rsid w:val="558C51E2"/>
    <w:rsid w:val="55914FEE"/>
    <w:rsid w:val="559A22C4"/>
    <w:rsid w:val="559C2F3F"/>
    <w:rsid w:val="559F228F"/>
    <w:rsid w:val="55A67EE8"/>
    <w:rsid w:val="55B54251"/>
    <w:rsid w:val="55C16AC0"/>
    <w:rsid w:val="55D00DC0"/>
    <w:rsid w:val="55D12C28"/>
    <w:rsid w:val="55E8090D"/>
    <w:rsid w:val="55F4696B"/>
    <w:rsid w:val="55FA6695"/>
    <w:rsid w:val="55FD24CA"/>
    <w:rsid w:val="56060266"/>
    <w:rsid w:val="560C46BB"/>
    <w:rsid w:val="56160ACB"/>
    <w:rsid w:val="561D33B6"/>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C5307"/>
    <w:rsid w:val="56BD78CA"/>
    <w:rsid w:val="56BF5531"/>
    <w:rsid w:val="56D03A56"/>
    <w:rsid w:val="56D255DB"/>
    <w:rsid w:val="56EB3361"/>
    <w:rsid w:val="56F0102A"/>
    <w:rsid w:val="56F40954"/>
    <w:rsid w:val="56F72F30"/>
    <w:rsid w:val="570251EE"/>
    <w:rsid w:val="570D256E"/>
    <w:rsid w:val="57101FE7"/>
    <w:rsid w:val="57301450"/>
    <w:rsid w:val="573349E8"/>
    <w:rsid w:val="57350D69"/>
    <w:rsid w:val="57352DEA"/>
    <w:rsid w:val="5744368A"/>
    <w:rsid w:val="574820C5"/>
    <w:rsid w:val="574D339C"/>
    <w:rsid w:val="5753468B"/>
    <w:rsid w:val="575B3101"/>
    <w:rsid w:val="5760479D"/>
    <w:rsid w:val="576D43D6"/>
    <w:rsid w:val="57742669"/>
    <w:rsid w:val="5779650A"/>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B7"/>
    <w:rsid w:val="585F7B51"/>
    <w:rsid w:val="58603614"/>
    <w:rsid w:val="58615E6E"/>
    <w:rsid w:val="58635793"/>
    <w:rsid w:val="586A36EE"/>
    <w:rsid w:val="588178BF"/>
    <w:rsid w:val="588C11D6"/>
    <w:rsid w:val="58A469A7"/>
    <w:rsid w:val="58BD0992"/>
    <w:rsid w:val="58BF796A"/>
    <w:rsid w:val="58C16B43"/>
    <w:rsid w:val="58C70034"/>
    <w:rsid w:val="58EF47AD"/>
    <w:rsid w:val="59033141"/>
    <w:rsid w:val="590C08D4"/>
    <w:rsid w:val="59246060"/>
    <w:rsid w:val="592A36F8"/>
    <w:rsid w:val="59362E9D"/>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C340E1"/>
    <w:rsid w:val="59CA0DF6"/>
    <w:rsid w:val="59CD2536"/>
    <w:rsid w:val="59D05539"/>
    <w:rsid w:val="59D2025E"/>
    <w:rsid w:val="59E12D2E"/>
    <w:rsid w:val="59E140AF"/>
    <w:rsid w:val="59E56E97"/>
    <w:rsid w:val="59EE0B0E"/>
    <w:rsid w:val="59EF52ED"/>
    <w:rsid w:val="59F378E0"/>
    <w:rsid w:val="5A03208B"/>
    <w:rsid w:val="5A1B27B8"/>
    <w:rsid w:val="5A345EDF"/>
    <w:rsid w:val="5A3A7F15"/>
    <w:rsid w:val="5A41505E"/>
    <w:rsid w:val="5A5A06F5"/>
    <w:rsid w:val="5A60385B"/>
    <w:rsid w:val="5A653FA0"/>
    <w:rsid w:val="5A6843E3"/>
    <w:rsid w:val="5A773B8A"/>
    <w:rsid w:val="5A7D2646"/>
    <w:rsid w:val="5A7E5ED8"/>
    <w:rsid w:val="5A91589A"/>
    <w:rsid w:val="5A950DCB"/>
    <w:rsid w:val="5A9C52E3"/>
    <w:rsid w:val="5A9F6E2F"/>
    <w:rsid w:val="5AAF69CC"/>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55F5F"/>
    <w:rsid w:val="5B277C2D"/>
    <w:rsid w:val="5B2A6DA0"/>
    <w:rsid w:val="5B2B355B"/>
    <w:rsid w:val="5B3E3090"/>
    <w:rsid w:val="5B413ED9"/>
    <w:rsid w:val="5B6A1750"/>
    <w:rsid w:val="5B736DFC"/>
    <w:rsid w:val="5B74248A"/>
    <w:rsid w:val="5B7C3A7D"/>
    <w:rsid w:val="5B8675CA"/>
    <w:rsid w:val="5B873273"/>
    <w:rsid w:val="5B8F4FC4"/>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5707D2"/>
    <w:rsid w:val="5C5C59BB"/>
    <w:rsid w:val="5C6A1E8C"/>
    <w:rsid w:val="5C6F3AA2"/>
    <w:rsid w:val="5C762A1F"/>
    <w:rsid w:val="5C7A3862"/>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D047EE8"/>
    <w:rsid w:val="5D110C61"/>
    <w:rsid w:val="5D1157A6"/>
    <w:rsid w:val="5D126228"/>
    <w:rsid w:val="5D1949C1"/>
    <w:rsid w:val="5D1B0F43"/>
    <w:rsid w:val="5D1F3C0E"/>
    <w:rsid w:val="5D204456"/>
    <w:rsid w:val="5D3734F1"/>
    <w:rsid w:val="5D3A42DC"/>
    <w:rsid w:val="5D423265"/>
    <w:rsid w:val="5D4C146E"/>
    <w:rsid w:val="5D7F6363"/>
    <w:rsid w:val="5D9A4008"/>
    <w:rsid w:val="5DA373AD"/>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F2323"/>
    <w:rsid w:val="5EDC21AD"/>
    <w:rsid w:val="5EF011FF"/>
    <w:rsid w:val="5EF078DD"/>
    <w:rsid w:val="5EF16AB5"/>
    <w:rsid w:val="5EF62DCD"/>
    <w:rsid w:val="5EF82FA9"/>
    <w:rsid w:val="5EFB0071"/>
    <w:rsid w:val="5EFE34A1"/>
    <w:rsid w:val="5F0E4F9F"/>
    <w:rsid w:val="5F173FD8"/>
    <w:rsid w:val="5F1C6EB0"/>
    <w:rsid w:val="5F3262F4"/>
    <w:rsid w:val="5F3A2E6A"/>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D9462B"/>
    <w:rsid w:val="5FDF17E3"/>
    <w:rsid w:val="5FE061B9"/>
    <w:rsid w:val="5FEB5761"/>
    <w:rsid w:val="5FFB6305"/>
    <w:rsid w:val="60011320"/>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BA5EFD"/>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1DE0"/>
    <w:rsid w:val="62565A29"/>
    <w:rsid w:val="628C53F9"/>
    <w:rsid w:val="62937829"/>
    <w:rsid w:val="62950095"/>
    <w:rsid w:val="629E2BD8"/>
    <w:rsid w:val="62A20B07"/>
    <w:rsid w:val="62A414E0"/>
    <w:rsid w:val="62BA5904"/>
    <w:rsid w:val="62CC77CB"/>
    <w:rsid w:val="62E7631E"/>
    <w:rsid w:val="62F3784F"/>
    <w:rsid w:val="62F41404"/>
    <w:rsid w:val="62FF3FB5"/>
    <w:rsid w:val="63021DE2"/>
    <w:rsid w:val="6303037E"/>
    <w:rsid w:val="63112339"/>
    <w:rsid w:val="63261098"/>
    <w:rsid w:val="632C21E9"/>
    <w:rsid w:val="632C2662"/>
    <w:rsid w:val="633A0F04"/>
    <w:rsid w:val="6340127C"/>
    <w:rsid w:val="63402FDE"/>
    <w:rsid w:val="63441C9E"/>
    <w:rsid w:val="63502143"/>
    <w:rsid w:val="63654FE0"/>
    <w:rsid w:val="63681104"/>
    <w:rsid w:val="636E7A2E"/>
    <w:rsid w:val="636F7748"/>
    <w:rsid w:val="639521BB"/>
    <w:rsid w:val="63A50D4E"/>
    <w:rsid w:val="63AA5332"/>
    <w:rsid w:val="63B94E8E"/>
    <w:rsid w:val="63C61233"/>
    <w:rsid w:val="63D84C43"/>
    <w:rsid w:val="63E257EE"/>
    <w:rsid w:val="63FF6AFB"/>
    <w:rsid w:val="64031E7C"/>
    <w:rsid w:val="64031F3E"/>
    <w:rsid w:val="640754EE"/>
    <w:rsid w:val="64075518"/>
    <w:rsid w:val="64142736"/>
    <w:rsid w:val="641B076E"/>
    <w:rsid w:val="642A2A58"/>
    <w:rsid w:val="64313238"/>
    <w:rsid w:val="64391A57"/>
    <w:rsid w:val="6447072E"/>
    <w:rsid w:val="64585109"/>
    <w:rsid w:val="645F7031"/>
    <w:rsid w:val="647843F1"/>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E51E54"/>
    <w:rsid w:val="64FF56F8"/>
    <w:rsid w:val="6507095D"/>
    <w:rsid w:val="65137300"/>
    <w:rsid w:val="6526740F"/>
    <w:rsid w:val="652C605C"/>
    <w:rsid w:val="652D179A"/>
    <w:rsid w:val="65355BC5"/>
    <w:rsid w:val="653A4CCE"/>
    <w:rsid w:val="6543518D"/>
    <w:rsid w:val="65525F37"/>
    <w:rsid w:val="6556674F"/>
    <w:rsid w:val="655F0FD4"/>
    <w:rsid w:val="655F2B6C"/>
    <w:rsid w:val="657E7D7E"/>
    <w:rsid w:val="65862CD9"/>
    <w:rsid w:val="6588686F"/>
    <w:rsid w:val="65975663"/>
    <w:rsid w:val="659E46D8"/>
    <w:rsid w:val="65A57048"/>
    <w:rsid w:val="65A73F8D"/>
    <w:rsid w:val="65B50E5A"/>
    <w:rsid w:val="65C3556B"/>
    <w:rsid w:val="65C67D97"/>
    <w:rsid w:val="65D54781"/>
    <w:rsid w:val="660867AF"/>
    <w:rsid w:val="662029CE"/>
    <w:rsid w:val="66223545"/>
    <w:rsid w:val="66236F50"/>
    <w:rsid w:val="662D27C6"/>
    <w:rsid w:val="66452970"/>
    <w:rsid w:val="66452FE9"/>
    <w:rsid w:val="664C2357"/>
    <w:rsid w:val="668D7DF1"/>
    <w:rsid w:val="6697143C"/>
    <w:rsid w:val="669A4AE7"/>
    <w:rsid w:val="66AB7EE5"/>
    <w:rsid w:val="66BE1FC5"/>
    <w:rsid w:val="66C92D41"/>
    <w:rsid w:val="66D04B5E"/>
    <w:rsid w:val="66D60DB1"/>
    <w:rsid w:val="66DD40E8"/>
    <w:rsid w:val="66E561D8"/>
    <w:rsid w:val="66F00AF0"/>
    <w:rsid w:val="6700750E"/>
    <w:rsid w:val="6706007D"/>
    <w:rsid w:val="6709601B"/>
    <w:rsid w:val="670F560C"/>
    <w:rsid w:val="67487CFE"/>
    <w:rsid w:val="675670C7"/>
    <w:rsid w:val="67580868"/>
    <w:rsid w:val="67610EFA"/>
    <w:rsid w:val="67613074"/>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C2BE7"/>
    <w:rsid w:val="67FD6528"/>
    <w:rsid w:val="68091997"/>
    <w:rsid w:val="680D19BB"/>
    <w:rsid w:val="6815717B"/>
    <w:rsid w:val="681A46E7"/>
    <w:rsid w:val="681B7F08"/>
    <w:rsid w:val="68221A8C"/>
    <w:rsid w:val="68347A35"/>
    <w:rsid w:val="683C6010"/>
    <w:rsid w:val="68446D9B"/>
    <w:rsid w:val="684D6D87"/>
    <w:rsid w:val="684F6446"/>
    <w:rsid w:val="685036D0"/>
    <w:rsid w:val="68525B9B"/>
    <w:rsid w:val="685F07CE"/>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948"/>
    <w:rsid w:val="69EF5EEB"/>
    <w:rsid w:val="69F22996"/>
    <w:rsid w:val="69FD45AC"/>
    <w:rsid w:val="69FF1849"/>
    <w:rsid w:val="6A0C6539"/>
    <w:rsid w:val="6A1B53E0"/>
    <w:rsid w:val="6A2826A1"/>
    <w:rsid w:val="6A3431B8"/>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28697A"/>
    <w:rsid w:val="6B3529D0"/>
    <w:rsid w:val="6B3611E8"/>
    <w:rsid w:val="6B3C6A10"/>
    <w:rsid w:val="6B3D3D48"/>
    <w:rsid w:val="6B5B3158"/>
    <w:rsid w:val="6B726A7C"/>
    <w:rsid w:val="6B7E05B9"/>
    <w:rsid w:val="6B8329CB"/>
    <w:rsid w:val="6B8833D8"/>
    <w:rsid w:val="6B8902B7"/>
    <w:rsid w:val="6B99288B"/>
    <w:rsid w:val="6BA832B8"/>
    <w:rsid w:val="6BB54A7D"/>
    <w:rsid w:val="6BBA5C26"/>
    <w:rsid w:val="6BC644EC"/>
    <w:rsid w:val="6BDB04B6"/>
    <w:rsid w:val="6BE963BE"/>
    <w:rsid w:val="6C010A69"/>
    <w:rsid w:val="6C0F365E"/>
    <w:rsid w:val="6C146C44"/>
    <w:rsid w:val="6C201C7F"/>
    <w:rsid w:val="6C2E2CA9"/>
    <w:rsid w:val="6C33536D"/>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85C69"/>
    <w:rsid w:val="6CDB73D6"/>
    <w:rsid w:val="6CED673D"/>
    <w:rsid w:val="6D073456"/>
    <w:rsid w:val="6D0C4FFA"/>
    <w:rsid w:val="6D127962"/>
    <w:rsid w:val="6D1413A4"/>
    <w:rsid w:val="6D3231DF"/>
    <w:rsid w:val="6D3B3522"/>
    <w:rsid w:val="6D464DCC"/>
    <w:rsid w:val="6D501553"/>
    <w:rsid w:val="6D616216"/>
    <w:rsid w:val="6D652808"/>
    <w:rsid w:val="6D693545"/>
    <w:rsid w:val="6D6F64BD"/>
    <w:rsid w:val="6D774B55"/>
    <w:rsid w:val="6D8C513A"/>
    <w:rsid w:val="6D8D1511"/>
    <w:rsid w:val="6D932C97"/>
    <w:rsid w:val="6D975823"/>
    <w:rsid w:val="6DA225C5"/>
    <w:rsid w:val="6DB530E5"/>
    <w:rsid w:val="6DB630F7"/>
    <w:rsid w:val="6DB63E2B"/>
    <w:rsid w:val="6DBF57D4"/>
    <w:rsid w:val="6DD6353E"/>
    <w:rsid w:val="6DD73369"/>
    <w:rsid w:val="6DDE346B"/>
    <w:rsid w:val="6DDE390C"/>
    <w:rsid w:val="6DE77496"/>
    <w:rsid w:val="6E04099A"/>
    <w:rsid w:val="6E0E61FC"/>
    <w:rsid w:val="6E1C0830"/>
    <w:rsid w:val="6E3101C1"/>
    <w:rsid w:val="6E3524CA"/>
    <w:rsid w:val="6E413951"/>
    <w:rsid w:val="6E451A64"/>
    <w:rsid w:val="6E58598C"/>
    <w:rsid w:val="6E67698D"/>
    <w:rsid w:val="6E6839F7"/>
    <w:rsid w:val="6E733F82"/>
    <w:rsid w:val="6E7F11CF"/>
    <w:rsid w:val="6E7F7825"/>
    <w:rsid w:val="6E874489"/>
    <w:rsid w:val="6E960A52"/>
    <w:rsid w:val="6EA0744D"/>
    <w:rsid w:val="6EA3291D"/>
    <w:rsid w:val="6EA67504"/>
    <w:rsid w:val="6EAC089F"/>
    <w:rsid w:val="6EDD75A0"/>
    <w:rsid w:val="6EE73EE7"/>
    <w:rsid w:val="6EE8416D"/>
    <w:rsid w:val="6EFE5FE0"/>
    <w:rsid w:val="6F0D2298"/>
    <w:rsid w:val="6F141C04"/>
    <w:rsid w:val="6F145E1F"/>
    <w:rsid w:val="6F222BC6"/>
    <w:rsid w:val="6F276C23"/>
    <w:rsid w:val="6F37324B"/>
    <w:rsid w:val="6F373EA5"/>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D071A2"/>
    <w:rsid w:val="6FD57D31"/>
    <w:rsid w:val="6FD969D9"/>
    <w:rsid w:val="6FDB7B65"/>
    <w:rsid w:val="6FDF42CC"/>
    <w:rsid w:val="700A32D4"/>
    <w:rsid w:val="70131EEE"/>
    <w:rsid w:val="70143D7F"/>
    <w:rsid w:val="701B43F3"/>
    <w:rsid w:val="70394E16"/>
    <w:rsid w:val="703B2856"/>
    <w:rsid w:val="704D1DD9"/>
    <w:rsid w:val="70512274"/>
    <w:rsid w:val="707136A0"/>
    <w:rsid w:val="7071512F"/>
    <w:rsid w:val="70727776"/>
    <w:rsid w:val="70836044"/>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44689C"/>
    <w:rsid w:val="714872A8"/>
    <w:rsid w:val="717E22AA"/>
    <w:rsid w:val="717E5F2F"/>
    <w:rsid w:val="71827A7B"/>
    <w:rsid w:val="71885178"/>
    <w:rsid w:val="718B15C7"/>
    <w:rsid w:val="71B2274D"/>
    <w:rsid w:val="71BF4E45"/>
    <w:rsid w:val="71C20258"/>
    <w:rsid w:val="71C43B20"/>
    <w:rsid w:val="71CC7EBE"/>
    <w:rsid w:val="71D20555"/>
    <w:rsid w:val="71DA77B8"/>
    <w:rsid w:val="71E216E7"/>
    <w:rsid w:val="71EA67D9"/>
    <w:rsid w:val="71F62720"/>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542C5"/>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D0906"/>
    <w:rsid w:val="7313580C"/>
    <w:rsid w:val="73300890"/>
    <w:rsid w:val="73314F4B"/>
    <w:rsid w:val="7339443F"/>
    <w:rsid w:val="733B5396"/>
    <w:rsid w:val="7350138A"/>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F4062"/>
    <w:rsid w:val="748A1B2C"/>
    <w:rsid w:val="74937DAD"/>
    <w:rsid w:val="74A16504"/>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5A639D"/>
    <w:rsid w:val="755E6DA1"/>
    <w:rsid w:val="75612341"/>
    <w:rsid w:val="756F6041"/>
    <w:rsid w:val="75882465"/>
    <w:rsid w:val="75913AD5"/>
    <w:rsid w:val="759C1644"/>
    <w:rsid w:val="75A00840"/>
    <w:rsid w:val="75AB03F6"/>
    <w:rsid w:val="75BF0CCB"/>
    <w:rsid w:val="75C55943"/>
    <w:rsid w:val="75CA48E7"/>
    <w:rsid w:val="75E027FD"/>
    <w:rsid w:val="75E738EA"/>
    <w:rsid w:val="75E85E32"/>
    <w:rsid w:val="75F52389"/>
    <w:rsid w:val="76156475"/>
    <w:rsid w:val="761C37B5"/>
    <w:rsid w:val="76351D9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474684"/>
    <w:rsid w:val="775666E2"/>
    <w:rsid w:val="77653ACC"/>
    <w:rsid w:val="77656F91"/>
    <w:rsid w:val="77747DD3"/>
    <w:rsid w:val="77A06CCB"/>
    <w:rsid w:val="77A565E6"/>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482C69"/>
    <w:rsid w:val="78552B9A"/>
    <w:rsid w:val="785B15AC"/>
    <w:rsid w:val="785E7689"/>
    <w:rsid w:val="78600E71"/>
    <w:rsid w:val="788249B9"/>
    <w:rsid w:val="788627CD"/>
    <w:rsid w:val="78886D15"/>
    <w:rsid w:val="789E1CE4"/>
    <w:rsid w:val="78B2035E"/>
    <w:rsid w:val="78B43B82"/>
    <w:rsid w:val="78B57D9C"/>
    <w:rsid w:val="78BB76EA"/>
    <w:rsid w:val="78D400AC"/>
    <w:rsid w:val="78E26C73"/>
    <w:rsid w:val="78E76B0F"/>
    <w:rsid w:val="78F65C61"/>
    <w:rsid w:val="78FA523C"/>
    <w:rsid w:val="78FB1BD1"/>
    <w:rsid w:val="79213328"/>
    <w:rsid w:val="79421AE5"/>
    <w:rsid w:val="794D3A79"/>
    <w:rsid w:val="7964511F"/>
    <w:rsid w:val="79824E81"/>
    <w:rsid w:val="79850D4D"/>
    <w:rsid w:val="79956A1C"/>
    <w:rsid w:val="799B2468"/>
    <w:rsid w:val="799E7491"/>
    <w:rsid w:val="799F3F47"/>
    <w:rsid w:val="79A72484"/>
    <w:rsid w:val="79BA471D"/>
    <w:rsid w:val="79BB5F41"/>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765EEC"/>
    <w:rsid w:val="7A773B5D"/>
    <w:rsid w:val="7A790CA9"/>
    <w:rsid w:val="7A8C0104"/>
    <w:rsid w:val="7A8C247F"/>
    <w:rsid w:val="7AB0523D"/>
    <w:rsid w:val="7AB83F1D"/>
    <w:rsid w:val="7ABA06A6"/>
    <w:rsid w:val="7AC73935"/>
    <w:rsid w:val="7ACC04C2"/>
    <w:rsid w:val="7AD234FC"/>
    <w:rsid w:val="7AD86C9B"/>
    <w:rsid w:val="7AD922C8"/>
    <w:rsid w:val="7ADD6AF4"/>
    <w:rsid w:val="7AE05DA1"/>
    <w:rsid w:val="7AE2061C"/>
    <w:rsid w:val="7AF937F5"/>
    <w:rsid w:val="7B002131"/>
    <w:rsid w:val="7B0864F6"/>
    <w:rsid w:val="7B0932DE"/>
    <w:rsid w:val="7B134040"/>
    <w:rsid w:val="7B153818"/>
    <w:rsid w:val="7B1B16D3"/>
    <w:rsid w:val="7B2A35A9"/>
    <w:rsid w:val="7B2E6780"/>
    <w:rsid w:val="7B517D5F"/>
    <w:rsid w:val="7B5D217A"/>
    <w:rsid w:val="7B614801"/>
    <w:rsid w:val="7B684A54"/>
    <w:rsid w:val="7B6E29B2"/>
    <w:rsid w:val="7B833CC0"/>
    <w:rsid w:val="7B913B86"/>
    <w:rsid w:val="7B97422A"/>
    <w:rsid w:val="7BA969F0"/>
    <w:rsid w:val="7BB31B68"/>
    <w:rsid w:val="7BC52236"/>
    <w:rsid w:val="7BC84FD2"/>
    <w:rsid w:val="7BCB31C0"/>
    <w:rsid w:val="7BDA7F16"/>
    <w:rsid w:val="7BDB19C4"/>
    <w:rsid w:val="7BDC6155"/>
    <w:rsid w:val="7BE1477C"/>
    <w:rsid w:val="7C071C5F"/>
    <w:rsid w:val="7C1311BA"/>
    <w:rsid w:val="7C194469"/>
    <w:rsid w:val="7C1A6CD5"/>
    <w:rsid w:val="7C2630F4"/>
    <w:rsid w:val="7C28176B"/>
    <w:rsid w:val="7C3A066B"/>
    <w:rsid w:val="7C45471C"/>
    <w:rsid w:val="7C7354E1"/>
    <w:rsid w:val="7C773FB5"/>
    <w:rsid w:val="7C7E27D3"/>
    <w:rsid w:val="7C7F3629"/>
    <w:rsid w:val="7C8B7A6D"/>
    <w:rsid w:val="7C90110D"/>
    <w:rsid w:val="7C90620C"/>
    <w:rsid w:val="7C9B6AF6"/>
    <w:rsid w:val="7CA004DF"/>
    <w:rsid w:val="7CA34622"/>
    <w:rsid w:val="7CC90590"/>
    <w:rsid w:val="7CF11A09"/>
    <w:rsid w:val="7D2A6646"/>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9A4BF4"/>
    <w:rsid w:val="7D9C2E79"/>
    <w:rsid w:val="7DA66967"/>
    <w:rsid w:val="7DAA0918"/>
    <w:rsid w:val="7DB838C8"/>
    <w:rsid w:val="7DC23C3E"/>
    <w:rsid w:val="7DCA5633"/>
    <w:rsid w:val="7DEB6BC1"/>
    <w:rsid w:val="7DF31684"/>
    <w:rsid w:val="7DF46E1B"/>
    <w:rsid w:val="7DFE66C3"/>
    <w:rsid w:val="7E0464CE"/>
    <w:rsid w:val="7E1976B5"/>
    <w:rsid w:val="7E202324"/>
    <w:rsid w:val="7E2C2660"/>
    <w:rsid w:val="7E450ECB"/>
    <w:rsid w:val="7E476D34"/>
    <w:rsid w:val="7E48774E"/>
    <w:rsid w:val="7E591586"/>
    <w:rsid w:val="7E6D6DAE"/>
    <w:rsid w:val="7E6F3FB2"/>
    <w:rsid w:val="7E8A4D65"/>
    <w:rsid w:val="7E8A54C9"/>
    <w:rsid w:val="7E957586"/>
    <w:rsid w:val="7E9B11AA"/>
    <w:rsid w:val="7EA32AD0"/>
    <w:rsid w:val="7EAF2602"/>
    <w:rsid w:val="7EC826AD"/>
    <w:rsid w:val="7ED55007"/>
    <w:rsid w:val="7ED953E3"/>
    <w:rsid w:val="7EDC0092"/>
    <w:rsid w:val="7EF05C7E"/>
    <w:rsid w:val="7EF765D0"/>
    <w:rsid w:val="7EF766B2"/>
    <w:rsid w:val="7EF87C96"/>
    <w:rsid w:val="7F020969"/>
    <w:rsid w:val="7F086927"/>
    <w:rsid w:val="7F1C0812"/>
    <w:rsid w:val="7F215D8A"/>
    <w:rsid w:val="7F301B1E"/>
    <w:rsid w:val="7F375D0A"/>
    <w:rsid w:val="7F384F8C"/>
    <w:rsid w:val="7F500CBA"/>
    <w:rsid w:val="7F547B11"/>
    <w:rsid w:val="7F587DE1"/>
    <w:rsid w:val="7F61016D"/>
    <w:rsid w:val="7F6D28E2"/>
    <w:rsid w:val="7F820D78"/>
    <w:rsid w:val="7F8720EC"/>
    <w:rsid w:val="7F935AA2"/>
    <w:rsid w:val="7FA51E6D"/>
    <w:rsid w:val="7FB545B0"/>
    <w:rsid w:val="7FC53F5E"/>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A915AD-6C08-4572-8BC9-B1D5CB2B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1310"/>
    <w:pPr>
      <w:spacing w:before="120" w:after="120" w:line="276" w:lineRule="auto"/>
      <w:jc w:val="both"/>
    </w:pPr>
    <w:rPr>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4"/>
    <w:next w:val="a"/>
    <w:uiPriority w:val="9"/>
    <w:qFormat/>
    <w:pPr>
      <w:numPr>
        <w:ilvl w:val="4"/>
      </w:numPr>
      <w:spacing w:after="0"/>
      <w:outlineLvl w:val="4"/>
    </w:pPr>
    <w:rPr>
      <w:rFonts w:ascii="宋体" w:hAnsi="宋体" w:hint="eastAsia"/>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pPr>
    <w:rPr>
      <w:kern w:val="2"/>
      <w:sz w:val="21"/>
      <w:szCs w:val="20"/>
    </w:rPr>
  </w:style>
  <w:style w:type="paragraph" w:styleId="a4">
    <w:name w:val="caption"/>
    <w:basedOn w:val="a"/>
    <w:next w:val="a"/>
    <w:link w:val="a5"/>
    <w:qFormat/>
    <w:pPr>
      <w:tabs>
        <w:tab w:val="left" w:pos="1418"/>
      </w:tabs>
      <w:spacing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pPr>
    <w:rPr>
      <w:color w:val="0000FF"/>
      <w:kern w:val="2"/>
      <w:sz w:val="21"/>
      <w:szCs w:val="20"/>
    </w:rPr>
  </w:style>
  <w:style w:type="paragraph" w:styleId="ac">
    <w:name w:val="Date"/>
    <w:basedOn w:val="a"/>
    <w:next w:val="a"/>
    <w:link w:val="ad"/>
    <w:uiPriority w:val="99"/>
    <w:semiHidden/>
    <w:unhideWhenUsed/>
    <w:qFormat/>
    <w:pPr>
      <w:ind w:leftChars="2500" w:left="100"/>
    </w:pPr>
  </w:style>
  <w:style w:type="paragraph" w:styleId="ae">
    <w:name w:val="Balloon Text"/>
    <w:basedOn w:val="a"/>
    <w:link w:val="af"/>
    <w:uiPriority w:val="99"/>
    <w:unhideWhenUsed/>
    <w:qFormat/>
    <w:pPr>
      <w:spacing w:after="0" w:line="240" w:lineRule="auto"/>
    </w:pPr>
    <w:rPr>
      <w:rFonts w:ascii="Tahoma" w:hAnsi="Tahoma"/>
      <w:sz w:val="16"/>
      <w:szCs w:val="16"/>
    </w:rPr>
  </w:style>
  <w:style w:type="paragraph" w:styleId="af0">
    <w:name w:val="footer"/>
    <w:basedOn w:val="a"/>
    <w:qFormat/>
    <w:pPr>
      <w:tabs>
        <w:tab w:val="center" w:pos="4153"/>
        <w:tab w:val="right" w:pos="8306"/>
      </w:tabs>
      <w:snapToGrid w:val="0"/>
      <w:spacing w:line="240" w:lineRule="auto"/>
    </w:pPr>
    <w:rPr>
      <w:sz w:val="18"/>
      <w:szCs w:val="18"/>
    </w:rPr>
  </w:style>
  <w:style w:type="paragraph" w:styleId="af1">
    <w:name w:val="header"/>
    <w:basedOn w:val="a"/>
    <w:link w:val="af2"/>
    <w:qFormat/>
    <w:pPr>
      <w:tabs>
        <w:tab w:val="center" w:pos="4536"/>
        <w:tab w:val="right" w:pos="9072"/>
      </w:tabs>
      <w:spacing w:after="0" w:line="240" w:lineRule="auto"/>
    </w:pPr>
    <w:rPr>
      <w:rFonts w:ascii="Arial" w:eastAsia="MS Mincho" w:hAnsi="Arial"/>
      <w:b/>
      <w:szCs w:val="24"/>
      <w:lang w:eastAsia="en-US"/>
    </w:rPr>
  </w:style>
  <w:style w:type="paragraph" w:styleId="af3">
    <w:name w:val="List"/>
    <w:basedOn w:val="a"/>
    <w:uiPriority w:val="99"/>
    <w:unhideWhenUsed/>
    <w:qFormat/>
    <w:pPr>
      <w:ind w:left="200" w:hangingChars="200" w:hanging="200"/>
      <w:contextualSpacing/>
    </w:pPr>
  </w:style>
  <w:style w:type="paragraph" w:styleId="af4">
    <w:name w:val="footnote text"/>
    <w:basedOn w:val="a"/>
    <w:link w:val="af5"/>
    <w:semiHidden/>
    <w:qFormat/>
    <w:pPr>
      <w:spacing w:after="0" w:line="240" w:lineRule="auto"/>
    </w:pPr>
    <w:rPr>
      <w:rFonts w:ascii="Times" w:eastAsia="Batang" w:hAnsi="Times"/>
      <w:szCs w:val="20"/>
      <w:lang w:eastAsia="en-US"/>
    </w:rPr>
  </w:style>
  <w:style w:type="paragraph" w:styleId="af6">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7">
    <w:name w:val="annotation subject"/>
    <w:basedOn w:val="a8"/>
    <w:next w:val="a8"/>
    <w:link w:val="af8"/>
    <w:uiPriority w:val="99"/>
    <w:unhideWhenUsed/>
    <w:qFormat/>
    <w:rPr>
      <w:b/>
      <w:bCs/>
    </w:rPr>
  </w:style>
  <w:style w:type="table" w:styleId="af9">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a">
    <w:name w:val="Strong"/>
    <w:basedOn w:val="a0"/>
    <w:uiPriority w:val="22"/>
    <w:qFormat/>
    <w:rPr>
      <w:b/>
    </w:rPr>
  </w:style>
  <w:style w:type="character" w:styleId="afb">
    <w:name w:val="page number"/>
    <w:basedOn w:val="a0"/>
    <w:semiHidden/>
    <w:qFormat/>
  </w:style>
  <w:style w:type="character" w:styleId="afc">
    <w:name w:val="FollowedHyperlink"/>
    <w:uiPriority w:val="99"/>
    <w:unhideWhenUsed/>
    <w:qFormat/>
    <w:rPr>
      <w:color w:val="2779B6"/>
      <w:u w:val="single"/>
    </w:rPr>
  </w:style>
  <w:style w:type="character" w:styleId="afd">
    <w:name w:val="Emphasis"/>
    <w:qFormat/>
    <w:rPr>
      <w:i/>
    </w:rPr>
  </w:style>
  <w:style w:type="character" w:styleId="afe">
    <w:name w:val="Hyperlink"/>
    <w:uiPriority w:val="99"/>
    <w:unhideWhenUsed/>
    <w:qFormat/>
    <w:rPr>
      <w:color w:val="2779B6"/>
      <w:u w:val="single"/>
    </w:rPr>
  </w:style>
  <w:style w:type="character" w:styleId="aff">
    <w:name w:val="annotation reference"/>
    <w:unhideWhenUsed/>
    <w:qFormat/>
    <w:rPr>
      <w:sz w:val="16"/>
      <w:szCs w:val="16"/>
    </w:rPr>
  </w:style>
  <w:style w:type="character" w:styleId="aff0">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rFonts w:ascii="Arial" w:eastAsia="黑体" w:hAnsi="Arial"/>
      <w:b/>
      <w:bCs/>
      <w:sz w:val="32"/>
      <w:szCs w:val="32"/>
      <w:lang w:val="zh-CN"/>
    </w:rPr>
  </w:style>
  <w:style w:type="character" w:customStyle="1" w:styleId="af2">
    <w:name w:val="页眉 字符"/>
    <w:link w:val="af1"/>
    <w:qFormat/>
    <w:rPr>
      <w:rFonts w:ascii="Arial" w:eastAsia="MS Mincho" w:hAnsi="Arial"/>
      <w:b/>
      <w:szCs w:val="24"/>
      <w:lang w:eastAsia="en-US"/>
    </w:rPr>
  </w:style>
  <w:style w:type="character" w:customStyle="1" w:styleId="af8">
    <w:name w:val="批注主题 字符"/>
    <w:link w:val="af7"/>
    <w:uiPriority w:val="99"/>
    <w:semiHidden/>
    <w:qFormat/>
    <w:rPr>
      <w:b/>
      <w:bCs/>
    </w:rPr>
  </w:style>
  <w:style w:type="character" w:customStyle="1" w:styleId="af5">
    <w:name w:val="脚注文本 字符"/>
    <w:link w:val="af4"/>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3"/>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line="336" w:lineRule="auto"/>
      <w:ind w:firstLine="397"/>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1">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eastAsia="t"/>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afterLines="5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2">
    <w:name w:val="List Paragraph"/>
    <w:basedOn w:val="a"/>
    <w:link w:val="aff3"/>
    <w:uiPriority w:val="99"/>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styleId="aff4">
    <w:name w:val="No Spacing"/>
    <w:uiPriority w:val="1"/>
    <w:qFormat/>
    <w:pPr>
      <w:spacing w:after="160" w:line="259" w:lineRule="auto"/>
    </w:pPr>
    <w:rPr>
      <w:rFonts w:ascii="Calibri" w:hAnsi="Calibri"/>
      <w:sz w:val="22"/>
      <w:szCs w:val="22"/>
    </w:rPr>
  </w:style>
  <w:style w:type="paragraph" w:customStyle="1" w:styleId="tal0">
    <w:name w:val="tal"/>
    <w:basedOn w:val="a"/>
    <w:qFormat/>
    <w:pPr>
      <w:keepNext/>
      <w:spacing w:after="0" w:line="240" w:lineRule="auto"/>
    </w:pPr>
    <w:rPr>
      <w:rFonts w:ascii="Arial" w:eastAsia="Gulim" w:hAnsi="Arial" w:cs="Arial"/>
      <w:sz w:val="18"/>
      <w:szCs w:val="18"/>
      <w:lang w:eastAsia="ko-KR"/>
    </w:rPr>
  </w:style>
  <w:style w:type="paragraph" w:customStyle="1" w:styleId="xmsonormal">
    <w:name w:val="x_msonormal"/>
    <w:basedOn w:val="a"/>
    <w:uiPriority w:val="99"/>
    <w:qFormat/>
    <w:rPr>
      <w:rFonts w:ascii="Calibri" w:eastAsia="Calibri" w:hAnsi="Calibri" w:cs="Calibri"/>
      <w:sz w:val="22"/>
    </w:rPr>
  </w:style>
  <w:style w:type="paragraph" w:customStyle="1" w:styleId="PatAppBody">
    <w:name w:val="PatApp Body"/>
    <w:basedOn w:val="a"/>
    <w:qFormat/>
    <w:pPr>
      <w:numPr>
        <w:numId w:val="7"/>
      </w:numPr>
      <w:spacing w:line="480" w:lineRule="auto"/>
    </w:pPr>
    <w:rPr>
      <w:rFonts w:eastAsia="Times New Roman"/>
      <w:snapToGrid w:val="0"/>
      <w:sz w:val="24"/>
      <w:szCs w:val="20"/>
      <w:lang w:eastAsia="en-US"/>
    </w:rPr>
  </w:style>
  <w:style w:type="character" w:customStyle="1" w:styleId="font11">
    <w:name w:val="font11"/>
    <w:basedOn w:val="a0"/>
    <w:qFormat/>
    <w:rPr>
      <w:rFonts w:ascii="宋体" w:eastAsia="宋体" w:hAnsi="宋体" w:cs="宋体" w:hint="eastAsia"/>
      <w:color w:val="000000"/>
      <w:sz w:val="24"/>
      <w:szCs w:val="24"/>
      <w:u w:val="none"/>
      <w:vertAlign w:val="subscript"/>
    </w:rPr>
  </w:style>
  <w:style w:type="paragraph" w:customStyle="1" w:styleId="1a">
    <w:name w:val="列表段落1"/>
    <w:basedOn w:val="a"/>
    <w:qFormat/>
    <w:pPr>
      <w:spacing w:before="100" w:beforeAutospacing="1" w:after="100" w:afterAutospacing="1" w:line="240" w:lineRule="auto"/>
      <w:ind w:leftChars="400" w:left="840"/>
    </w:pPr>
    <w:rPr>
      <w:rFonts w:ascii="Times" w:eastAsia="Batang" w:hAnsi="Times" w:cs="Times"/>
      <w:sz w:val="24"/>
      <w:szCs w:val="24"/>
    </w:rPr>
  </w:style>
  <w:style w:type="table" w:customStyle="1" w:styleId="22">
    <w:name w:val="网格型2"/>
    <w:basedOn w:val="a1"/>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日期 字符"/>
    <w:basedOn w:val="a0"/>
    <w:link w:val="ac"/>
    <w:uiPriority w:val="99"/>
    <w:semiHidden/>
    <w:qFormat/>
    <w:rPr>
      <w:rFonts w:eastAsia="t"/>
      <w:szCs w:val="22"/>
    </w:rPr>
  </w:style>
  <w:style w:type="paragraph" w:customStyle="1" w:styleId="msolistparagraph0">
    <w:name w:val="msolistparagraph"/>
    <w:basedOn w:val="a"/>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aff3">
    <w:name w:val="列表段落 字符"/>
    <w:link w:val="aff2"/>
    <w:uiPriority w:val="99"/>
    <w:qFormat/>
    <w:rPr>
      <w:szCs w:val="22"/>
    </w:rPr>
  </w:style>
  <w:style w:type="character" w:customStyle="1" w:styleId="0MaintextChar">
    <w:name w:val="0 Main text Char"/>
    <w:link w:val="0Maintext"/>
    <w:qFormat/>
    <w:locked/>
    <w:rPr>
      <w:rFonts w:eastAsia="Malgun Gothic" w:cs="Batang"/>
      <w:lang w:val="en-GB" w:eastAsia="en-US"/>
    </w:rPr>
  </w:style>
  <w:style w:type="character" w:styleId="aff5">
    <w:name w:val="Placeholder Text"/>
    <w:basedOn w:val="a0"/>
    <w:uiPriority w:val="99"/>
    <w:semiHidden/>
    <w:qFormat/>
    <w:rPr>
      <w:color w:val="808080"/>
    </w:rPr>
  </w:style>
  <w:style w:type="paragraph" w:customStyle="1" w:styleId="23">
    <w:name w:val="修订2"/>
    <w:hidden/>
    <w:uiPriority w:val="99"/>
    <w:semiHidden/>
    <w:qFormat/>
    <w:rPr>
      <w:szCs w:val="22"/>
    </w:rPr>
  </w:style>
  <w:style w:type="character" w:customStyle="1" w:styleId="1b">
    <w:name w:val="列表段落 字符1"/>
    <w:uiPriority w:val="99"/>
    <w:qFormat/>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wmf"/></Relationships>
</file>

<file path=word/charts/_rels/chart1.xml.rels><?xml version="1.0" encoding="UTF-8" standalone="yes"?>
<Relationships xmlns="http://schemas.openxmlformats.org/package/2006/relationships"><Relationship Id="rId3" Type="http://schemas.openxmlformats.org/officeDocument/2006/relationships/oleObject" Target="file:///D:\3GPP%20RAN1\R-19\RAN1%20118bis\&#25552;&#26696;&#25776;&#20889;\32port&#20223;&#30495;.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UPT gain</a:t>
            </a:r>
          </a:p>
        </c:rich>
      </c:tx>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tx>
            <c:strRef>
              <c:f>[32port仿真.xlsx]Sheet1!$A$38</c:f>
              <c:strCache>
                <c:ptCount val="1"/>
                <c:pt idx="0">
                  <c:v>R15</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[32port仿真.xlsx]Sheet1!$B$37:$D$37</c:f>
              <c:strCache>
                <c:ptCount val="3"/>
                <c:pt idx="0">
                  <c:v>5%</c:v>
                </c:pt>
                <c:pt idx="1">
                  <c:v>95%</c:v>
                </c:pt>
                <c:pt idx="2">
                  <c:v>mean</c:v>
                </c:pt>
              </c:strCache>
            </c:strRef>
          </c:cat>
          <c:val>
            <c:numRef>
              <c:f>[32port仿真.xlsx]Sheet1!$B$38:$D$38</c:f>
              <c:numCache>
                <c:formatCode>0.0%</c:formatCode>
                <c:ptCount val="3"/>
                <c:pt idx="0">
                  <c:v>1</c:v>
                </c:pt>
                <c:pt idx="1">
                  <c:v>1</c:v>
                </c:pt>
                <c:pt idx="2">
                  <c:v>1</c:v>
                </c:pt>
              </c:numCache>
            </c:numRef>
          </c:val>
          <c:extLst>
            <c:ext xmlns:c16="http://schemas.microsoft.com/office/drawing/2014/chart" uri="{C3380CC4-5D6E-409C-BE32-E72D297353CC}">
              <c16:uniqueId val="{00000000-6B2F-4FAC-8515-2D35D36BDF5E}"/>
            </c:ext>
          </c:extLst>
        </c:ser>
        <c:ser>
          <c:idx val="1"/>
          <c:order val="1"/>
          <c:tx>
            <c:strRef>
              <c:f>[32port仿真.xlsx]Sheet1!$A$39</c:f>
              <c:strCache>
                <c:ptCount val="1"/>
                <c:pt idx="0">
                  <c:v>R19 Scheme-A</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[32port仿真.xlsx]Sheet1!$B$37:$D$37</c:f>
              <c:strCache>
                <c:ptCount val="3"/>
                <c:pt idx="0">
                  <c:v>5%</c:v>
                </c:pt>
                <c:pt idx="1">
                  <c:v>95%</c:v>
                </c:pt>
                <c:pt idx="2">
                  <c:v>mean</c:v>
                </c:pt>
              </c:strCache>
            </c:strRef>
          </c:cat>
          <c:val>
            <c:numRef>
              <c:f>[32port仿真.xlsx]Sheet1!$B$39:$D$39</c:f>
              <c:numCache>
                <c:formatCode>0.0%</c:formatCode>
                <c:ptCount val="3"/>
                <c:pt idx="0">
                  <c:v>1.212</c:v>
                </c:pt>
                <c:pt idx="1">
                  <c:v>1.0375000000000001</c:v>
                </c:pt>
                <c:pt idx="2">
                  <c:v>1.0805</c:v>
                </c:pt>
              </c:numCache>
            </c:numRef>
          </c:val>
          <c:extLst>
            <c:ext xmlns:c16="http://schemas.microsoft.com/office/drawing/2014/chart" uri="{C3380CC4-5D6E-409C-BE32-E72D297353CC}">
              <c16:uniqueId val="{00000001-6B2F-4FAC-8515-2D35D36BDF5E}"/>
            </c:ext>
          </c:extLst>
        </c:ser>
        <c:dLbls>
          <c:showLegendKey val="0"/>
          <c:showVal val="1"/>
          <c:showCatName val="0"/>
          <c:showSerName val="0"/>
          <c:showPercent val="0"/>
          <c:showBubbleSize val="0"/>
        </c:dLbls>
        <c:gapWidth val="219"/>
        <c:overlap val="-27"/>
        <c:axId val="41322566"/>
        <c:axId val="224286804"/>
      </c:barChart>
      <c:catAx>
        <c:axId val="4132256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224286804"/>
        <c:crosses val="autoZero"/>
        <c:auto val="1"/>
        <c:lblAlgn val="ctr"/>
        <c:lblOffset val="100"/>
        <c:noMultiLvlLbl val="0"/>
      </c:catAx>
      <c:valAx>
        <c:axId val="224286804"/>
        <c:scaling>
          <c:orientation val="minMax"/>
          <c:min val="0.9"/>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4132256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FB19B-D259-450B-B499-49F3D15D8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4768</Words>
  <Characters>27179</Characters>
  <Application>Microsoft Office Word</Application>
  <DocSecurity>0</DocSecurity>
  <Lines>226</Lines>
  <Paragraphs>63</Paragraphs>
  <ScaleCrop>false</ScaleCrop>
  <Company>www.zte.com.cn</Company>
  <LinksUpToDate>false</LinksUpToDate>
  <CharactersWithSpaces>31884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Guangyu - ZTE</cp:lastModifiedBy>
  <cp:revision>53</cp:revision>
  <cp:lastPrinted>2024-08-08T01:32:00Z</cp:lastPrinted>
  <dcterms:created xsi:type="dcterms:W3CDTF">2024-11-08T03:19:00Z</dcterms:created>
  <dcterms:modified xsi:type="dcterms:W3CDTF">2024-11-08T08:33:00Z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D2CF7DB796A54B4F9801CB472998A3FB</vt:lpwstr>
  </property>
</Properties>
</file>